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3A0B" w14:textId="62F2308F" w:rsidR="008B0A49" w:rsidRPr="008B0A49" w:rsidRDefault="008B0A49" w:rsidP="008B0A49">
      <w:pPr>
        <w:pStyle w:val="Nadpis1"/>
        <w:jc w:val="center"/>
        <w:rPr>
          <w:rFonts w:ascii="Times New Roman" w:hAnsi="Times New Roman"/>
          <w:b w:val="0"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B0A49">
        <w:rPr>
          <w:b w:val="0"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VAROVÁNÍ NÚKIB: RIZIKA ČÍNSKÝCH TECHNOLOGIÍ PRO NEZISKOVÉ ORGANIZACE A STŘEDNÍ PODNIKY</w:t>
      </w:r>
    </w:p>
    <w:bookmarkEnd w:id="0"/>
    <w:p w14:paraId="3220AD56" w14:textId="77777777" w:rsidR="008B0A49" w:rsidRDefault="008B0A49" w:rsidP="008B0A49">
      <w:pPr>
        <w:pStyle w:val="Normlnweb"/>
      </w:pPr>
      <w:r>
        <w:t xml:space="preserve">Národní úřad pro kybernetickou a informační bezpečnost (NÚKIB) vydal v září 2025 varování před závažnou hrozbou v oblasti kybernetické bezpečnosti. Týká se využívání technologií a služeb, které předávají uživatelská nebo systémová data do </w:t>
      </w:r>
      <w:r>
        <w:rPr>
          <w:rStyle w:val="Siln"/>
        </w:rPr>
        <w:t>Čínské lidové republiky (ČLR), Hongkongu či Macaa</w:t>
      </w:r>
      <w:r>
        <w:t xml:space="preserve"> nebo které jsou vzdáleně spravovány z těchto míst.</w:t>
      </w:r>
    </w:p>
    <w:p w14:paraId="2AA6811A" w14:textId="77777777" w:rsidR="008B0A49" w:rsidRDefault="008B0A49" w:rsidP="008B0A49">
      <w:pPr>
        <w:pStyle w:val="Normlnweb"/>
      </w:pPr>
      <w:r>
        <w:t xml:space="preserve">Podle úřadu je pravděpodobnost zneužití dat </w:t>
      </w:r>
      <w:r>
        <w:rPr>
          <w:rStyle w:val="Siln"/>
        </w:rPr>
        <w:t>velmi vysoká</w:t>
      </w:r>
      <w:r>
        <w:t xml:space="preserve"> a hrozba se netýká jen státních institucí, ale i </w:t>
      </w:r>
      <w:r>
        <w:rPr>
          <w:rStyle w:val="Siln"/>
        </w:rPr>
        <w:t>neziskových organizací, firem a veřejnosti</w:t>
      </w:r>
      <w:r>
        <w:t>.</w:t>
      </w:r>
    </w:p>
    <w:p w14:paraId="50B39983" w14:textId="77777777" w:rsidR="008B0A49" w:rsidRDefault="008B0A49" w:rsidP="008B0A49">
      <w:r>
        <w:pict w14:anchorId="5D23119A">
          <v:rect id="_x0000_i1057" style="width:0;height:1.5pt" o:hralign="center" o:hrstd="t" o:hr="t" fillcolor="#a0a0a0" stroked="f"/>
        </w:pict>
      </w:r>
    </w:p>
    <w:p w14:paraId="151512FB" w14:textId="362EB477" w:rsidR="008B0A49" w:rsidRPr="008B0A49" w:rsidRDefault="008B0A49" w:rsidP="008B0A49">
      <w:pPr>
        <w:pStyle w:val="Nadpis2"/>
        <w:rPr>
          <w:color w:val="E36C0A" w:themeColor="accent6" w:themeShade="BF"/>
        </w:rPr>
      </w:pPr>
      <w:r w:rsidRPr="008B0A49">
        <w:rPr>
          <w:color w:val="E36C0A" w:themeColor="accent6" w:themeShade="BF"/>
        </w:rPr>
        <w:t>PROČ BY SE MĚLI OBÁVAT I MENŠÍ SPRÁVCI DAT?</w:t>
      </w:r>
    </w:p>
    <w:p w14:paraId="6485D93C" w14:textId="77777777" w:rsidR="008B0A49" w:rsidRDefault="008B0A49" w:rsidP="008B0A49">
      <w:pPr>
        <w:pStyle w:val="Normlnweb"/>
      </w:pPr>
      <w:r>
        <w:t>Mnoho neziskových organizací i podniků disponuje údaji, které mohou být atraktivní pro zahraniční aktéry:</w:t>
      </w:r>
    </w:p>
    <w:p w14:paraId="7DEBB985" w14:textId="77777777" w:rsidR="008B0A49" w:rsidRDefault="008B0A49" w:rsidP="008B0A49">
      <w:pPr>
        <w:pStyle w:val="Normlnweb"/>
        <w:numPr>
          <w:ilvl w:val="0"/>
          <w:numId w:val="40"/>
        </w:numPr>
      </w:pPr>
      <w:r>
        <w:t>osobní data klientů či členů, včetně kontaktů, rodinných informací nebo zdravotních údajů,</w:t>
      </w:r>
    </w:p>
    <w:p w14:paraId="573924A4" w14:textId="77777777" w:rsidR="008B0A49" w:rsidRDefault="008B0A49" w:rsidP="008B0A49">
      <w:pPr>
        <w:pStyle w:val="Normlnweb"/>
        <w:numPr>
          <w:ilvl w:val="0"/>
          <w:numId w:val="40"/>
        </w:numPr>
      </w:pPr>
      <w:r>
        <w:t>personální a mzdové údaje zaměstnanců,</w:t>
      </w:r>
    </w:p>
    <w:p w14:paraId="463F9533" w14:textId="77777777" w:rsidR="008B0A49" w:rsidRDefault="008B0A49" w:rsidP="008B0A49">
      <w:pPr>
        <w:pStyle w:val="Normlnweb"/>
        <w:numPr>
          <w:ilvl w:val="0"/>
          <w:numId w:val="40"/>
        </w:numPr>
      </w:pPr>
      <w:r>
        <w:t>databáze dárců či obchodních partnerů,</w:t>
      </w:r>
    </w:p>
    <w:p w14:paraId="104B9567" w14:textId="77777777" w:rsidR="008B0A49" w:rsidRDefault="008B0A49" w:rsidP="008B0A49">
      <w:pPr>
        <w:pStyle w:val="Normlnweb"/>
        <w:numPr>
          <w:ilvl w:val="0"/>
          <w:numId w:val="40"/>
        </w:numPr>
      </w:pPr>
      <w:r>
        <w:t>finanční a účetní záznamy,</w:t>
      </w:r>
    </w:p>
    <w:p w14:paraId="3EAF5C05" w14:textId="77777777" w:rsidR="008B0A49" w:rsidRDefault="008B0A49" w:rsidP="008B0A49">
      <w:pPr>
        <w:pStyle w:val="Normlnweb"/>
        <w:numPr>
          <w:ilvl w:val="0"/>
          <w:numId w:val="40"/>
        </w:numPr>
      </w:pPr>
      <w:r>
        <w:t>interní strategie nebo dokumenty.</w:t>
      </w:r>
    </w:p>
    <w:p w14:paraId="686A1038" w14:textId="77777777" w:rsidR="008B0A49" w:rsidRDefault="008B0A49" w:rsidP="008B0A49">
      <w:pPr>
        <w:pStyle w:val="Normlnweb"/>
      </w:pPr>
      <w:r>
        <w:t xml:space="preserve">Předání těchto dat do prostředí, kde neplatí evropské standardy ochrany soukromí, znamená </w:t>
      </w:r>
      <w:r>
        <w:rPr>
          <w:rStyle w:val="Siln"/>
        </w:rPr>
        <w:t>nejen právní problém (rozpor s GDPR)</w:t>
      </w:r>
      <w:r>
        <w:t xml:space="preserve">, ale i </w:t>
      </w:r>
      <w:r>
        <w:rPr>
          <w:rStyle w:val="Siln"/>
        </w:rPr>
        <w:t>bezpečnostní riziko</w:t>
      </w:r>
      <w:r>
        <w:t xml:space="preserve"> – od cíleného phishingu po vydírání nebo ztrátu důvěry klientů a partnerů.</w:t>
      </w:r>
    </w:p>
    <w:p w14:paraId="47FD1D78" w14:textId="77777777" w:rsidR="008B0A49" w:rsidRDefault="008B0A49" w:rsidP="008B0A49">
      <w:r>
        <w:pict w14:anchorId="2567359C">
          <v:rect id="_x0000_i1058" style="width:0;height:1.5pt" o:hralign="center" o:hrstd="t" o:hr="t" fillcolor="#a0a0a0" stroked="f"/>
        </w:pict>
      </w:r>
    </w:p>
    <w:p w14:paraId="5460585D" w14:textId="30343B12" w:rsidR="008B0A49" w:rsidRPr="008B0A49" w:rsidRDefault="008B0A49" w:rsidP="008B0A49">
      <w:pPr>
        <w:pStyle w:val="Nadpis2"/>
        <w:rPr>
          <w:color w:val="E36C0A" w:themeColor="accent6" w:themeShade="BF"/>
        </w:rPr>
      </w:pPr>
      <w:r w:rsidRPr="008B0A49">
        <w:rPr>
          <w:color w:val="E36C0A" w:themeColor="accent6" w:themeShade="BF"/>
        </w:rPr>
        <w:t>RIZIKOVÉ TECHNOLOGIE A SLUŽBY</w:t>
      </w:r>
    </w:p>
    <w:p w14:paraId="0F2AC47A" w14:textId="77777777" w:rsidR="008B0A49" w:rsidRDefault="008B0A49" w:rsidP="008B0A49">
      <w:pPr>
        <w:pStyle w:val="Normlnweb"/>
      </w:pPr>
      <w:r>
        <w:t>Organizace si často ani neuvědomují, že používají zařízení nebo software, které mohou data směrovat do Číny. Typicky jde o:</w:t>
      </w:r>
    </w:p>
    <w:p w14:paraId="76C023E1" w14:textId="77777777" w:rsidR="008B0A49" w:rsidRDefault="008B0A49" w:rsidP="008B0A49">
      <w:pPr>
        <w:pStyle w:val="Normlnweb"/>
        <w:numPr>
          <w:ilvl w:val="0"/>
          <w:numId w:val="41"/>
        </w:numPr>
      </w:pPr>
      <w:r>
        <w:t>chytré telefony, tablety nebo notebooky od čínských výrobců,</w:t>
      </w:r>
    </w:p>
    <w:p w14:paraId="442D6B58" w14:textId="77777777" w:rsidR="008B0A49" w:rsidRDefault="008B0A49" w:rsidP="008B0A49">
      <w:pPr>
        <w:pStyle w:val="Normlnweb"/>
        <w:numPr>
          <w:ilvl w:val="0"/>
          <w:numId w:val="41"/>
        </w:numPr>
      </w:pPr>
      <w:r>
        <w:t>komunikační a cloudové aplikace, které ukládají data na servery mimo EU,</w:t>
      </w:r>
    </w:p>
    <w:p w14:paraId="1D7BEB82" w14:textId="77777777" w:rsidR="008B0A49" w:rsidRDefault="008B0A49" w:rsidP="008B0A49">
      <w:pPr>
        <w:pStyle w:val="Normlnweb"/>
        <w:numPr>
          <w:ilvl w:val="0"/>
          <w:numId w:val="41"/>
        </w:numPr>
      </w:pPr>
      <w:r>
        <w:t>chytré kamery, zabezpečovací systémy a IoT zařízení (např. ovládání budov, přístupové systémy),</w:t>
      </w:r>
    </w:p>
    <w:p w14:paraId="36069A37" w14:textId="77777777" w:rsidR="008B0A49" w:rsidRDefault="008B0A49" w:rsidP="008B0A49">
      <w:pPr>
        <w:pStyle w:val="Normlnweb"/>
        <w:numPr>
          <w:ilvl w:val="0"/>
          <w:numId w:val="41"/>
        </w:numPr>
      </w:pPr>
      <w:r>
        <w:t>síťové prvky (routery, switche) umožňující vzdálenou správu,</w:t>
      </w:r>
    </w:p>
    <w:p w14:paraId="36570E77" w14:textId="77777777" w:rsidR="008B0A49" w:rsidRDefault="008B0A49" w:rsidP="008B0A49">
      <w:pPr>
        <w:pStyle w:val="Normlnweb"/>
        <w:numPr>
          <w:ilvl w:val="0"/>
          <w:numId w:val="41"/>
        </w:numPr>
      </w:pPr>
      <w:r>
        <w:t>fotovoltaické střídače a smart metery připojené k internetu.</w:t>
      </w:r>
    </w:p>
    <w:p w14:paraId="44D2C6F1" w14:textId="77777777" w:rsidR="008B0A49" w:rsidRDefault="008B0A49" w:rsidP="008B0A49">
      <w:r>
        <w:lastRenderedPageBreak/>
        <w:pict w14:anchorId="03807466">
          <v:rect id="_x0000_i1059" style="width:0;height:1.5pt" o:hralign="center" o:hrstd="t" o:hr="t" fillcolor="#a0a0a0" stroked="f"/>
        </w:pict>
      </w:r>
    </w:p>
    <w:p w14:paraId="6526F1FA" w14:textId="54A11046" w:rsidR="008B0A49" w:rsidRPr="008B0A49" w:rsidRDefault="008B0A49" w:rsidP="008B0A49">
      <w:pPr>
        <w:pStyle w:val="Nadpis2"/>
        <w:rPr>
          <w:color w:val="E36C0A" w:themeColor="accent6" w:themeShade="BF"/>
        </w:rPr>
      </w:pPr>
      <w:r w:rsidRPr="008B0A49">
        <w:rPr>
          <w:color w:val="E36C0A" w:themeColor="accent6" w:themeShade="BF"/>
        </w:rPr>
        <w:t>JAKÁ HROZÍ RIZIKA?</w:t>
      </w:r>
    </w:p>
    <w:p w14:paraId="221DE946" w14:textId="77777777" w:rsidR="008B0A49" w:rsidRDefault="008B0A49" w:rsidP="008B0A49">
      <w:pPr>
        <w:pStyle w:val="Normlnweb"/>
        <w:numPr>
          <w:ilvl w:val="0"/>
          <w:numId w:val="42"/>
        </w:numPr>
      </w:pPr>
      <w:r>
        <w:rPr>
          <w:rStyle w:val="Siln"/>
        </w:rPr>
        <w:t>Únik osobních údajů</w:t>
      </w:r>
      <w:r>
        <w:t xml:space="preserve"> – přenos do neprověřeného prostředí, kde je státní moc oprávněna vyžádat si data.</w:t>
      </w:r>
    </w:p>
    <w:p w14:paraId="708AFA05" w14:textId="77777777" w:rsidR="008B0A49" w:rsidRDefault="008B0A49" w:rsidP="008B0A49">
      <w:pPr>
        <w:pStyle w:val="Normlnweb"/>
        <w:numPr>
          <w:ilvl w:val="0"/>
          <w:numId w:val="42"/>
        </w:numPr>
      </w:pPr>
      <w:r>
        <w:rPr>
          <w:rStyle w:val="Siln"/>
        </w:rPr>
        <w:t>Porušení GDPR</w:t>
      </w:r>
      <w:r>
        <w:t xml:space="preserve"> – absence právního rámce pro předávání dat do Číny znamená nezákonné zpracování.</w:t>
      </w:r>
    </w:p>
    <w:p w14:paraId="1EA6789F" w14:textId="77777777" w:rsidR="008B0A49" w:rsidRDefault="008B0A49" w:rsidP="008B0A49">
      <w:pPr>
        <w:pStyle w:val="Normlnweb"/>
        <w:numPr>
          <w:ilvl w:val="0"/>
          <w:numId w:val="42"/>
        </w:numPr>
      </w:pPr>
      <w:r>
        <w:rPr>
          <w:rStyle w:val="Siln"/>
        </w:rPr>
        <w:t>Reputační dopady</w:t>
      </w:r>
      <w:r>
        <w:t xml:space="preserve"> – ztráta důvěry klientů, dárců či obchodních partnerů.</w:t>
      </w:r>
    </w:p>
    <w:p w14:paraId="736E2754" w14:textId="77777777" w:rsidR="008B0A49" w:rsidRDefault="008B0A49" w:rsidP="008B0A49">
      <w:pPr>
        <w:pStyle w:val="Normlnweb"/>
        <w:numPr>
          <w:ilvl w:val="0"/>
          <w:numId w:val="42"/>
        </w:numPr>
      </w:pPr>
      <w:r>
        <w:rPr>
          <w:rStyle w:val="Siln"/>
        </w:rPr>
        <w:t>Možnost zneužití</w:t>
      </w:r>
      <w:r>
        <w:t xml:space="preserve"> – cílené útoky, vydírání, narušení činnosti organizace.</w:t>
      </w:r>
    </w:p>
    <w:p w14:paraId="63E7AADD" w14:textId="77777777" w:rsidR="008B0A49" w:rsidRDefault="008B0A49" w:rsidP="008B0A49">
      <w:r>
        <w:pict w14:anchorId="71FE0E8B">
          <v:rect id="_x0000_i1060" style="width:0;height:1.5pt" o:hralign="center" o:hrstd="t" o:hr="t" fillcolor="#a0a0a0" stroked="f"/>
        </w:pict>
      </w:r>
    </w:p>
    <w:p w14:paraId="4992C91C" w14:textId="50CDEE84" w:rsidR="008B0A49" w:rsidRPr="008B0A49" w:rsidRDefault="008B0A49" w:rsidP="008B0A49">
      <w:pPr>
        <w:pStyle w:val="Nadpis2"/>
        <w:rPr>
          <w:color w:val="E36C0A" w:themeColor="accent6" w:themeShade="BF"/>
        </w:rPr>
      </w:pPr>
      <w:r w:rsidRPr="008B0A49">
        <w:rPr>
          <w:color w:val="E36C0A" w:themeColor="accent6" w:themeShade="BF"/>
        </w:rPr>
        <w:t>DOPORUČENÉ KROKY PRO NEZISKOVÉ ORGANIZACE A PODNIKY</w:t>
      </w:r>
    </w:p>
    <w:p w14:paraId="1F3A156F" w14:textId="77777777" w:rsidR="008B0A49" w:rsidRDefault="008B0A49" w:rsidP="008B0A49">
      <w:pPr>
        <w:pStyle w:val="Normlnweb"/>
        <w:numPr>
          <w:ilvl w:val="0"/>
          <w:numId w:val="43"/>
        </w:numPr>
      </w:pPr>
      <w:r>
        <w:rPr>
          <w:rStyle w:val="Siln"/>
        </w:rPr>
        <w:t>Inventarizace IT prostředí</w:t>
      </w:r>
    </w:p>
    <w:p w14:paraId="12550A22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Prověřte, jaké technologie a služby vaše organizace využívá.</w:t>
      </w:r>
    </w:p>
    <w:p w14:paraId="637286C7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Zjistěte, kde jsou data ukládána a odkud je prováděna správa zařízení.</w:t>
      </w:r>
    </w:p>
    <w:p w14:paraId="3BA9649F" w14:textId="77777777" w:rsidR="008B0A49" w:rsidRDefault="008B0A49" w:rsidP="008B0A49">
      <w:pPr>
        <w:pStyle w:val="Normlnweb"/>
        <w:numPr>
          <w:ilvl w:val="0"/>
          <w:numId w:val="43"/>
        </w:numPr>
      </w:pPr>
      <w:r>
        <w:rPr>
          <w:rStyle w:val="Siln"/>
        </w:rPr>
        <w:t>Ověření dodavatelů</w:t>
      </w:r>
    </w:p>
    <w:p w14:paraId="6C8609EA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Při pořizování nových technologií požadujte garanci, že data zůstávají v EU.</w:t>
      </w:r>
    </w:p>
    <w:p w14:paraId="6D375442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Preferujte evropské a ověřené dodavatele cloudových služeb.</w:t>
      </w:r>
    </w:p>
    <w:p w14:paraId="7EA86AB9" w14:textId="77777777" w:rsidR="008B0A49" w:rsidRDefault="008B0A49" w:rsidP="008B0A49">
      <w:pPr>
        <w:pStyle w:val="Normlnweb"/>
        <w:numPr>
          <w:ilvl w:val="0"/>
          <w:numId w:val="43"/>
        </w:numPr>
      </w:pPr>
      <w:r>
        <w:rPr>
          <w:rStyle w:val="Siln"/>
        </w:rPr>
        <w:t>Omezení rizikových aplikací</w:t>
      </w:r>
    </w:p>
    <w:p w14:paraId="1E133A10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Nepoužívejte aplikace, jejichž původ nebo ukládání dat není jasné.</w:t>
      </w:r>
    </w:p>
    <w:p w14:paraId="62A73F38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Na služebních zařízeních blokujte neprověřené softwarové platformy.</w:t>
      </w:r>
    </w:p>
    <w:p w14:paraId="45312527" w14:textId="77777777" w:rsidR="008B0A49" w:rsidRDefault="008B0A49" w:rsidP="008B0A49">
      <w:pPr>
        <w:pStyle w:val="Normlnweb"/>
        <w:numPr>
          <w:ilvl w:val="0"/>
          <w:numId w:val="43"/>
        </w:numPr>
      </w:pPr>
      <w:r>
        <w:rPr>
          <w:rStyle w:val="Siln"/>
        </w:rPr>
        <w:t>Interní směrnice a školení</w:t>
      </w:r>
    </w:p>
    <w:p w14:paraId="096B32E5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Stanovte pravidla používání služeb a zařízení.</w:t>
      </w:r>
    </w:p>
    <w:p w14:paraId="708C39FB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Seznamte zaměstnance s riziky sdílení dat přes chytré aplikace a zařízení.</w:t>
      </w:r>
    </w:p>
    <w:p w14:paraId="4E993444" w14:textId="77777777" w:rsidR="008B0A49" w:rsidRDefault="008B0A49" w:rsidP="008B0A49">
      <w:pPr>
        <w:pStyle w:val="Normlnweb"/>
        <w:numPr>
          <w:ilvl w:val="0"/>
          <w:numId w:val="43"/>
        </w:numPr>
      </w:pPr>
      <w:r>
        <w:rPr>
          <w:rStyle w:val="Siln"/>
        </w:rPr>
        <w:t>Konzultace s DPO nebo IT specialistou</w:t>
      </w:r>
    </w:p>
    <w:p w14:paraId="6676E5B3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Při nejistotě ověřte rizika s odborníkem na ochranu osobních údajů.</w:t>
      </w:r>
    </w:p>
    <w:p w14:paraId="7A56EB6D" w14:textId="77777777" w:rsidR="008B0A49" w:rsidRDefault="008B0A49" w:rsidP="008B0A49">
      <w:pPr>
        <w:pStyle w:val="Normlnweb"/>
        <w:numPr>
          <w:ilvl w:val="1"/>
          <w:numId w:val="43"/>
        </w:numPr>
      </w:pPr>
      <w:r>
        <w:t>V případě incidentu neprodleně informujte vedení a postupujte dle GDPR.</w:t>
      </w:r>
    </w:p>
    <w:p w14:paraId="7392A7E9" w14:textId="77777777" w:rsidR="008B0A49" w:rsidRDefault="008B0A49" w:rsidP="008B0A49">
      <w:r>
        <w:pict w14:anchorId="3A80F21E">
          <v:rect id="_x0000_i1061" style="width:0;height:1.5pt" o:hralign="center" o:hrstd="t" o:hr="t" fillcolor="#a0a0a0" stroked="f"/>
        </w:pict>
      </w:r>
    </w:p>
    <w:p w14:paraId="5C408476" w14:textId="28FE04F2" w:rsidR="008B0A49" w:rsidRPr="008B0A49" w:rsidRDefault="008B0A49" w:rsidP="008B0A49">
      <w:pPr>
        <w:pStyle w:val="Nadpis2"/>
        <w:rPr>
          <w:color w:val="E36C0A" w:themeColor="accent6" w:themeShade="BF"/>
        </w:rPr>
      </w:pPr>
      <w:r w:rsidRPr="008B0A49">
        <w:rPr>
          <w:color w:val="E36C0A" w:themeColor="accent6" w:themeShade="BF"/>
        </w:rPr>
        <w:t>SHRNUTÍ</w:t>
      </w:r>
    </w:p>
    <w:p w14:paraId="32269595" w14:textId="77777777" w:rsidR="008B0A49" w:rsidRDefault="008B0A49" w:rsidP="008B0A49">
      <w:pPr>
        <w:pStyle w:val="Normlnweb"/>
      </w:pPr>
      <w:r>
        <w:t xml:space="preserve">Varování NÚKIB jasně ukazuje, že </w:t>
      </w:r>
      <w:r>
        <w:rPr>
          <w:rStyle w:val="Siln"/>
        </w:rPr>
        <w:t>hrozba není hypotetická, ale reálná a pravděpodobná</w:t>
      </w:r>
      <w:r>
        <w:t>.</w:t>
      </w:r>
      <w:r>
        <w:br/>
        <w:t>Pro neziskové organizace a střední podniky platí:</w:t>
      </w:r>
    </w:p>
    <w:p w14:paraId="0D45527E" w14:textId="77777777" w:rsidR="008B0A49" w:rsidRDefault="008B0A49" w:rsidP="008B0A49">
      <w:pPr>
        <w:pStyle w:val="Normlnweb"/>
        <w:numPr>
          <w:ilvl w:val="0"/>
          <w:numId w:val="44"/>
        </w:numPr>
      </w:pPr>
      <w:r>
        <w:t>Zpracováváte-li osobní nebo citlivá data, musíte mít jistotu, že se nedostávají mimo EU bez právního rámce.</w:t>
      </w:r>
    </w:p>
    <w:p w14:paraId="377A6BB0" w14:textId="77777777" w:rsidR="008B0A49" w:rsidRDefault="008B0A49" w:rsidP="008B0A49">
      <w:pPr>
        <w:pStyle w:val="Normlnweb"/>
        <w:numPr>
          <w:ilvl w:val="0"/>
          <w:numId w:val="44"/>
        </w:numPr>
      </w:pPr>
      <w:r>
        <w:t>Vyhýbejte se čínským technologiím a službám, které by mohly předávat data do prostředí, kde není zaručena jejich ochrana.</w:t>
      </w:r>
    </w:p>
    <w:p w14:paraId="4F353BE4" w14:textId="4C9D58F2" w:rsidR="00D23F6E" w:rsidRPr="008B0A49" w:rsidRDefault="008B0A49" w:rsidP="008B0A49">
      <w:pPr>
        <w:pStyle w:val="Normlnweb"/>
        <w:numPr>
          <w:ilvl w:val="0"/>
          <w:numId w:val="44"/>
        </w:numPr>
      </w:pPr>
      <w:r>
        <w:t>Prevence je levnější než řešení následků – ztráta důvěry či pokuta od ÚOOÚ může ohrozit samotné fungování organizace.</w:t>
      </w:r>
    </w:p>
    <w:sectPr w:rsidR="00D23F6E" w:rsidRPr="008B0A49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751B6" w14:textId="77777777" w:rsidR="00F15767" w:rsidRDefault="00F15767" w:rsidP="000657C9">
      <w:pPr>
        <w:spacing w:after="0" w:line="240" w:lineRule="auto"/>
      </w:pPr>
      <w:r>
        <w:separator/>
      </w:r>
    </w:p>
  </w:endnote>
  <w:endnote w:type="continuationSeparator" w:id="0">
    <w:p w14:paraId="6404C60A" w14:textId="77777777" w:rsidR="00F15767" w:rsidRDefault="00F15767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EndPr/>
    <w:sdtContent>
      <w:p w14:paraId="45F00048" w14:textId="77777777" w:rsidR="00306858" w:rsidRPr="00306858" w:rsidRDefault="00306858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B37EE9" w:rsidRDefault="00306858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67B6675B" w:rsidR="00306858" w:rsidRDefault="0030685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B0A49" w:rsidRPr="008B0A49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67B6675B" w:rsidR="00306858" w:rsidRDefault="0030685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B0A49" w:rsidRPr="008B0A49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B8D7F" w14:textId="77777777" w:rsidR="00F15767" w:rsidRDefault="00F15767" w:rsidP="000657C9">
      <w:pPr>
        <w:spacing w:after="0" w:line="240" w:lineRule="auto"/>
      </w:pPr>
      <w:r>
        <w:separator/>
      </w:r>
    </w:p>
  </w:footnote>
  <w:footnote w:type="continuationSeparator" w:id="0">
    <w:p w14:paraId="05226694" w14:textId="77777777" w:rsidR="00F15767" w:rsidRDefault="00F15767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0657C9" w:rsidRDefault="004B1E10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7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0577A"/>
    <w:multiLevelType w:val="hybridMultilevel"/>
    <w:tmpl w:val="7D92D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61CF8"/>
    <w:multiLevelType w:val="hybridMultilevel"/>
    <w:tmpl w:val="86B2BD54"/>
    <w:lvl w:ilvl="0" w:tplc="A914DB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C5151"/>
    <w:multiLevelType w:val="multilevel"/>
    <w:tmpl w:val="93E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2122F"/>
    <w:multiLevelType w:val="multilevel"/>
    <w:tmpl w:val="AB7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21D3F"/>
    <w:multiLevelType w:val="hybridMultilevel"/>
    <w:tmpl w:val="73D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77456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2E72"/>
    <w:multiLevelType w:val="hybridMultilevel"/>
    <w:tmpl w:val="4F40A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94350A"/>
    <w:multiLevelType w:val="multilevel"/>
    <w:tmpl w:val="E00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7534C"/>
    <w:multiLevelType w:val="multilevel"/>
    <w:tmpl w:val="87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A24A92"/>
    <w:multiLevelType w:val="hybridMultilevel"/>
    <w:tmpl w:val="22206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B2D91"/>
    <w:multiLevelType w:val="multilevel"/>
    <w:tmpl w:val="B02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5563D"/>
    <w:multiLevelType w:val="multilevel"/>
    <w:tmpl w:val="6A04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8623E8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601"/>
    <w:multiLevelType w:val="multilevel"/>
    <w:tmpl w:val="1C44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9308E"/>
    <w:multiLevelType w:val="hybridMultilevel"/>
    <w:tmpl w:val="7A601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5362C"/>
    <w:multiLevelType w:val="multilevel"/>
    <w:tmpl w:val="C35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47718"/>
    <w:multiLevelType w:val="multilevel"/>
    <w:tmpl w:val="632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E68CB"/>
    <w:multiLevelType w:val="multilevel"/>
    <w:tmpl w:val="110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E6333"/>
    <w:multiLevelType w:val="multilevel"/>
    <w:tmpl w:val="E1F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080B1D"/>
    <w:multiLevelType w:val="multilevel"/>
    <w:tmpl w:val="1C0A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03E8C"/>
    <w:multiLevelType w:val="multilevel"/>
    <w:tmpl w:val="8D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2443E"/>
    <w:multiLevelType w:val="multilevel"/>
    <w:tmpl w:val="6D6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A6650"/>
    <w:multiLevelType w:val="hybridMultilevel"/>
    <w:tmpl w:val="9352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5705C"/>
    <w:multiLevelType w:val="multilevel"/>
    <w:tmpl w:val="91B8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4D6868"/>
    <w:multiLevelType w:val="multilevel"/>
    <w:tmpl w:val="37D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C745C"/>
    <w:multiLevelType w:val="multilevel"/>
    <w:tmpl w:val="73D4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978BD"/>
    <w:multiLevelType w:val="hybridMultilevel"/>
    <w:tmpl w:val="95AE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87F5E"/>
    <w:multiLevelType w:val="multilevel"/>
    <w:tmpl w:val="0F9A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C0404"/>
    <w:multiLevelType w:val="multilevel"/>
    <w:tmpl w:val="86F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A334EB"/>
    <w:multiLevelType w:val="multilevel"/>
    <w:tmpl w:val="C1C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D548E"/>
    <w:multiLevelType w:val="multilevel"/>
    <w:tmpl w:val="42D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D475B5"/>
    <w:multiLevelType w:val="multilevel"/>
    <w:tmpl w:val="E8D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E46609"/>
    <w:multiLevelType w:val="hybridMultilevel"/>
    <w:tmpl w:val="539E6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30186"/>
    <w:multiLevelType w:val="hybridMultilevel"/>
    <w:tmpl w:val="02BEA68C"/>
    <w:lvl w:ilvl="0" w:tplc="E9D08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C22AB"/>
    <w:multiLevelType w:val="multilevel"/>
    <w:tmpl w:val="72D8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1"/>
  </w:num>
  <w:num w:numId="11">
    <w:abstractNumId w:val="41"/>
  </w:num>
  <w:num w:numId="12">
    <w:abstractNumId w:val="14"/>
  </w:num>
  <w:num w:numId="13">
    <w:abstractNumId w:val="9"/>
  </w:num>
  <w:num w:numId="14">
    <w:abstractNumId w:val="21"/>
  </w:num>
  <w:num w:numId="15">
    <w:abstractNumId w:val="18"/>
  </w:num>
  <w:num w:numId="16">
    <w:abstractNumId w:val="13"/>
  </w:num>
  <w:num w:numId="17">
    <w:abstractNumId w:val="35"/>
  </w:num>
  <w:num w:numId="18">
    <w:abstractNumId w:val="10"/>
  </w:num>
  <w:num w:numId="19">
    <w:abstractNumId w:val="42"/>
  </w:num>
  <w:num w:numId="20">
    <w:abstractNumId w:val="15"/>
  </w:num>
  <w:num w:numId="21">
    <w:abstractNumId w:val="23"/>
  </w:num>
  <w:num w:numId="22">
    <w:abstractNumId w:val="38"/>
  </w:num>
  <w:num w:numId="23">
    <w:abstractNumId w:val="11"/>
  </w:num>
  <w:num w:numId="24">
    <w:abstractNumId w:val="19"/>
  </w:num>
  <w:num w:numId="25">
    <w:abstractNumId w:val="27"/>
  </w:num>
  <w:num w:numId="26">
    <w:abstractNumId w:val="29"/>
  </w:num>
  <w:num w:numId="27">
    <w:abstractNumId w:val="40"/>
  </w:num>
  <w:num w:numId="28">
    <w:abstractNumId w:val="12"/>
  </w:num>
  <w:num w:numId="29">
    <w:abstractNumId w:val="25"/>
  </w:num>
  <w:num w:numId="30">
    <w:abstractNumId w:val="22"/>
  </w:num>
  <w:num w:numId="31">
    <w:abstractNumId w:val="33"/>
  </w:num>
  <w:num w:numId="32">
    <w:abstractNumId w:val="37"/>
  </w:num>
  <w:num w:numId="33">
    <w:abstractNumId w:val="30"/>
  </w:num>
  <w:num w:numId="34">
    <w:abstractNumId w:val="16"/>
  </w:num>
  <w:num w:numId="35">
    <w:abstractNumId w:val="43"/>
  </w:num>
  <w:num w:numId="36">
    <w:abstractNumId w:val="28"/>
  </w:num>
  <w:num w:numId="37">
    <w:abstractNumId w:val="39"/>
  </w:num>
  <w:num w:numId="38">
    <w:abstractNumId w:val="17"/>
  </w:num>
  <w:num w:numId="39">
    <w:abstractNumId w:val="24"/>
  </w:num>
  <w:num w:numId="40">
    <w:abstractNumId w:val="34"/>
  </w:num>
  <w:num w:numId="41">
    <w:abstractNumId w:val="20"/>
  </w:num>
  <w:num w:numId="42">
    <w:abstractNumId w:val="36"/>
  </w:num>
  <w:num w:numId="43">
    <w:abstractNumId w:val="3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561045"/>
    <w:rsid w:val="006A3467"/>
    <w:rsid w:val="00724E67"/>
    <w:rsid w:val="00734924"/>
    <w:rsid w:val="007543CF"/>
    <w:rsid w:val="00756210"/>
    <w:rsid w:val="00791535"/>
    <w:rsid w:val="007A630F"/>
    <w:rsid w:val="008B0A49"/>
    <w:rsid w:val="00966CB9"/>
    <w:rsid w:val="00AA1D8D"/>
    <w:rsid w:val="00B37EE9"/>
    <w:rsid w:val="00B44FBC"/>
    <w:rsid w:val="00B47730"/>
    <w:rsid w:val="00BB361D"/>
    <w:rsid w:val="00CB0664"/>
    <w:rsid w:val="00D23F6E"/>
    <w:rsid w:val="00D86187"/>
    <w:rsid w:val="00D87090"/>
    <w:rsid w:val="00DE2F69"/>
    <w:rsid w:val="00E62854"/>
    <w:rsid w:val="00EC7E95"/>
    <w:rsid w:val="00EF073C"/>
    <w:rsid w:val="00F15767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B0D58C-B1BD-4141-8AB8-412E672D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2025-09-28T13:18:00Z</dcterms:created>
  <dcterms:modified xsi:type="dcterms:W3CDTF">2025-09-28T13:18:00Z</dcterms:modified>
  <cp:category/>
</cp:coreProperties>
</file>