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143FD" w14:textId="64A7224A" w:rsidR="006046E7" w:rsidRPr="006046E7" w:rsidRDefault="006046E7" w:rsidP="0013593A">
      <w:pPr>
        <w:pStyle w:val="Nadpis1"/>
        <w:jc w:val="center"/>
        <w:rPr>
          <w:rFonts w:ascii="Times New Roman" w:hAnsi="Times New Roman"/>
          <w:b w:val="0"/>
          <w:color w:val="E36C0A" w:themeColor="accent6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6046E7">
        <w:rPr>
          <w:b w:val="0"/>
          <w:color w:val="E36C0A" w:themeColor="accent6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GDPR UŽ NESTAČÍ: JAK SE PŘIPRAVIT NA NOVÉ EVROPSKÉ REGULACE V DIGITÁLNÍ EKONOMICE</w:t>
      </w:r>
    </w:p>
    <w:bookmarkEnd w:id="0"/>
    <w:p w14:paraId="19E9F4FD" w14:textId="77777777" w:rsidR="006046E7" w:rsidRPr="0013593A" w:rsidRDefault="006046E7" w:rsidP="0013593A">
      <w:pPr>
        <w:pStyle w:val="Normlnweb"/>
        <w:jc w:val="both"/>
        <w:rPr>
          <w:rFonts w:asciiTheme="majorHAnsi" w:hAnsiTheme="majorHAnsi" w:cstheme="majorHAnsi"/>
        </w:rPr>
      </w:pPr>
      <w:r w:rsidRPr="0013593A">
        <w:rPr>
          <w:rFonts w:asciiTheme="majorHAnsi" w:hAnsiTheme="majorHAnsi" w:cstheme="majorHAnsi"/>
        </w:rPr>
        <w:t xml:space="preserve">Mít zavedené GDPR je dnes samozřejmostí, ale nestačí to. Nové evropské předpisy, jako </w:t>
      </w:r>
      <w:r w:rsidRPr="0013593A">
        <w:rPr>
          <w:rStyle w:val="Siln"/>
          <w:rFonts w:asciiTheme="majorHAnsi" w:hAnsiTheme="majorHAnsi" w:cstheme="majorHAnsi"/>
        </w:rPr>
        <w:t>NIS2, AI Act, ePrivacy, Data Act či Accessibility Act</w:t>
      </w:r>
      <w:r w:rsidRPr="0013593A">
        <w:rPr>
          <w:rFonts w:asciiTheme="majorHAnsi" w:hAnsiTheme="majorHAnsi" w:cstheme="majorHAnsi"/>
        </w:rPr>
        <w:t>, rozšiřují povinnosti v oblasti bezpečnosti, ochrany osobních údajů, transparentnosti a compliance. Otázkou pro školy, malé a střední podniky i neziskové organizace tedy není „jestli“, ale „jak připraveni jste“.</w:t>
      </w:r>
    </w:p>
    <w:p w14:paraId="3F684A9B" w14:textId="77777777" w:rsidR="006046E7" w:rsidRPr="0013593A" w:rsidRDefault="006046E7" w:rsidP="006046E7">
      <w:pPr>
        <w:rPr>
          <w:rFonts w:asciiTheme="majorHAnsi" w:hAnsiTheme="majorHAnsi" w:cstheme="majorHAnsi"/>
          <w:sz w:val="24"/>
          <w:szCs w:val="24"/>
        </w:rPr>
      </w:pPr>
      <w:r w:rsidRPr="0013593A">
        <w:rPr>
          <w:rFonts w:asciiTheme="majorHAnsi" w:hAnsiTheme="majorHAnsi" w:cstheme="majorHAnsi"/>
          <w:sz w:val="24"/>
          <w:szCs w:val="24"/>
        </w:rPr>
        <w:pict w14:anchorId="4F135723">
          <v:rect id="_x0000_i1174" style="width:0;height:1.5pt" o:hralign="center" o:hrstd="t" o:hr="t" fillcolor="#a0a0a0" stroked="f"/>
        </w:pict>
      </w:r>
    </w:p>
    <w:p w14:paraId="1F02EBBC" w14:textId="56F4FDD4" w:rsidR="006046E7" w:rsidRPr="0013593A" w:rsidRDefault="0013593A" w:rsidP="006046E7">
      <w:pPr>
        <w:pStyle w:val="Nadpis2"/>
        <w:rPr>
          <w:rFonts w:cstheme="majorHAnsi"/>
          <w:color w:val="E36C0A" w:themeColor="accent6" w:themeShade="BF"/>
          <w:sz w:val="24"/>
          <w:szCs w:val="24"/>
        </w:rPr>
      </w:pPr>
      <w:r w:rsidRPr="0013593A">
        <w:rPr>
          <w:rFonts w:cstheme="majorHAnsi"/>
          <w:color w:val="E36C0A" w:themeColor="accent6" w:themeShade="BF"/>
          <w:sz w:val="24"/>
          <w:szCs w:val="24"/>
        </w:rPr>
        <w:t>PROČ SE VYPLATÍ REVIDOVAT STÁVAJÍCÍ GDPR PROCESY</w:t>
      </w:r>
    </w:p>
    <w:p w14:paraId="4E1A5374" w14:textId="77777777" w:rsidR="006046E7" w:rsidRPr="0013593A" w:rsidRDefault="006046E7" w:rsidP="0013593A">
      <w:pPr>
        <w:pStyle w:val="Normlnweb"/>
        <w:jc w:val="both"/>
        <w:rPr>
          <w:rFonts w:asciiTheme="majorHAnsi" w:hAnsiTheme="majorHAnsi" w:cstheme="majorHAnsi"/>
        </w:rPr>
      </w:pPr>
      <w:r w:rsidRPr="0013593A">
        <w:rPr>
          <w:rFonts w:asciiTheme="majorHAnsi" w:hAnsiTheme="majorHAnsi" w:cstheme="majorHAnsi"/>
        </w:rPr>
        <w:t>Mnoho organizací má GDPR implementováno formálně nebo řešeno projekty z let 2017–2020, které často vznikaly „rychle a narychlo“. Důsledkem je:</w:t>
      </w:r>
    </w:p>
    <w:p w14:paraId="63005FE8" w14:textId="77777777" w:rsidR="006046E7" w:rsidRPr="0013593A" w:rsidRDefault="006046E7" w:rsidP="0013593A">
      <w:pPr>
        <w:pStyle w:val="Normlnweb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13593A">
        <w:rPr>
          <w:rFonts w:asciiTheme="majorHAnsi" w:hAnsiTheme="majorHAnsi" w:cstheme="majorHAnsi"/>
        </w:rPr>
        <w:t>dokumentace a procesy nejsou aktuální vůči novým směrnicím a evropským regulacím,</w:t>
      </w:r>
    </w:p>
    <w:p w14:paraId="206C2E29" w14:textId="77777777" w:rsidR="006046E7" w:rsidRPr="0013593A" w:rsidRDefault="006046E7" w:rsidP="0013593A">
      <w:pPr>
        <w:pStyle w:val="Normlnweb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13593A">
        <w:rPr>
          <w:rFonts w:asciiTheme="majorHAnsi" w:hAnsiTheme="majorHAnsi" w:cstheme="majorHAnsi"/>
        </w:rPr>
        <w:t>systémové udržování zpracování osobních údajů není zajištěno,</w:t>
      </w:r>
    </w:p>
    <w:p w14:paraId="71339D6E" w14:textId="77777777" w:rsidR="006046E7" w:rsidRPr="0013593A" w:rsidRDefault="006046E7" w:rsidP="0013593A">
      <w:pPr>
        <w:pStyle w:val="Normlnweb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13593A">
        <w:rPr>
          <w:rFonts w:asciiTheme="majorHAnsi" w:hAnsiTheme="majorHAnsi" w:cstheme="majorHAnsi"/>
        </w:rPr>
        <w:t>rizika při auditech a změnách legislativy rostou.</w:t>
      </w:r>
    </w:p>
    <w:p w14:paraId="642B6A30" w14:textId="77777777" w:rsidR="006046E7" w:rsidRPr="0013593A" w:rsidRDefault="006046E7" w:rsidP="0013593A">
      <w:pPr>
        <w:pStyle w:val="Normlnweb"/>
        <w:jc w:val="both"/>
        <w:rPr>
          <w:rFonts w:asciiTheme="majorHAnsi" w:hAnsiTheme="majorHAnsi" w:cstheme="majorHAnsi"/>
        </w:rPr>
      </w:pPr>
      <w:r w:rsidRPr="0013593A">
        <w:rPr>
          <w:rFonts w:asciiTheme="majorHAnsi" w:hAnsiTheme="majorHAnsi" w:cstheme="majorHAnsi"/>
        </w:rPr>
        <w:t>Pro malé a střední organizace, školy a neziskovky může být taková situace problém – od auditů po reputaci a důvěru veřejnosti.</w:t>
      </w:r>
    </w:p>
    <w:p w14:paraId="70959C8F" w14:textId="77777777" w:rsidR="006046E7" w:rsidRPr="0013593A" w:rsidRDefault="006046E7" w:rsidP="006046E7">
      <w:pPr>
        <w:rPr>
          <w:rFonts w:asciiTheme="majorHAnsi" w:hAnsiTheme="majorHAnsi" w:cstheme="majorHAnsi"/>
          <w:sz w:val="24"/>
          <w:szCs w:val="24"/>
        </w:rPr>
      </w:pPr>
      <w:r w:rsidRPr="0013593A">
        <w:rPr>
          <w:rFonts w:asciiTheme="majorHAnsi" w:hAnsiTheme="majorHAnsi" w:cstheme="majorHAnsi"/>
          <w:sz w:val="24"/>
          <w:szCs w:val="24"/>
        </w:rPr>
        <w:pict w14:anchorId="3402C8C3">
          <v:rect id="_x0000_i1175" style="width:0;height:1.5pt" o:hralign="center" o:hrstd="t" o:hr="t" fillcolor="#a0a0a0" stroked="f"/>
        </w:pict>
      </w:r>
    </w:p>
    <w:p w14:paraId="36A41415" w14:textId="2F62EE36" w:rsidR="006046E7" w:rsidRPr="0013593A" w:rsidRDefault="0013593A" w:rsidP="006046E7">
      <w:pPr>
        <w:pStyle w:val="Nadpis2"/>
        <w:rPr>
          <w:rFonts w:cstheme="majorHAnsi"/>
          <w:color w:val="E36C0A" w:themeColor="accent6" w:themeShade="BF"/>
          <w:sz w:val="24"/>
          <w:szCs w:val="24"/>
        </w:rPr>
      </w:pPr>
      <w:r w:rsidRPr="0013593A">
        <w:rPr>
          <w:rFonts w:cstheme="majorHAnsi"/>
          <w:color w:val="E36C0A" w:themeColor="accent6" w:themeShade="BF"/>
          <w:sz w:val="24"/>
          <w:szCs w:val="24"/>
        </w:rPr>
        <w:t>GDPR JE JEN ZÁKLAD</w:t>
      </w:r>
    </w:p>
    <w:p w14:paraId="4FA34677" w14:textId="77777777" w:rsidR="006046E7" w:rsidRPr="0013593A" w:rsidRDefault="006046E7" w:rsidP="0013593A">
      <w:pPr>
        <w:pStyle w:val="Normlnweb"/>
        <w:jc w:val="both"/>
        <w:rPr>
          <w:rFonts w:asciiTheme="majorHAnsi" w:hAnsiTheme="majorHAnsi" w:cstheme="majorHAnsi"/>
        </w:rPr>
      </w:pPr>
      <w:r w:rsidRPr="0013593A">
        <w:rPr>
          <w:rFonts w:asciiTheme="majorHAnsi" w:hAnsiTheme="majorHAnsi" w:cstheme="majorHAnsi"/>
        </w:rPr>
        <w:t xml:space="preserve">GDPR poskytuje </w:t>
      </w:r>
      <w:r w:rsidRPr="0013593A">
        <w:rPr>
          <w:rStyle w:val="Siln"/>
          <w:rFonts w:asciiTheme="majorHAnsi" w:hAnsiTheme="majorHAnsi" w:cstheme="majorHAnsi"/>
        </w:rPr>
        <w:t>právní rámec pro ochranu osobních údajů</w:t>
      </w:r>
      <w:r w:rsidRPr="0013593A">
        <w:rPr>
          <w:rFonts w:asciiTheme="majorHAnsi" w:hAnsiTheme="majorHAnsi" w:cstheme="majorHAnsi"/>
        </w:rPr>
        <w:t>, ale další evropské předpisy doplňují specializované oblasti:</w:t>
      </w:r>
    </w:p>
    <w:p w14:paraId="45D31F18" w14:textId="360F1539" w:rsidR="006046E7" w:rsidRPr="0013593A" w:rsidRDefault="006046E7" w:rsidP="0013593A">
      <w:pPr>
        <w:pStyle w:val="Normlnweb"/>
        <w:numPr>
          <w:ilvl w:val="0"/>
          <w:numId w:val="12"/>
        </w:numPr>
        <w:jc w:val="both"/>
        <w:rPr>
          <w:rFonts w:asciiTheme="majorHAnsi" w:hAnsiTheme="majorHAnsi" w:cstheme="majorHAnsi"/>
        </w:rPr>
      </w:pPr>
      <w:r w:rsidRPr="0013593A">
        <w:rPr>
          <w:rStyle w:val="Siln"/>
          <w:rFonts w:asciiTheme="majorHAnsi" w:hAnsiTheme="majorHAnsi" w:cstheme="majorHAnsi"/>
        </w:rPr>
        <w:t>NIS2</w:t>
      </w:r>
      <w:r w:rsidRPr="0013593A">
        <w:rPr>
          <w:rFonts w:asciiTheme="majorHAnsi" w:hAnsiTheme="majorHAnsi" w:cstheme="majorHAnsi"/>
        </w:rPr>
        <w:t xml:space="preserve"> – kybernetická bezpečnost, řízení rizik a hlášení incidentů,</w:t>
      </w:r>
    </w:p>
    <w:p w14:paraId="4F5CA9B8" w14:textId="77777777" w:rsidR="006046E7" w:rsidRPr="0013593A" w:rsidRDefault="006046E7" w:rsidP="0013593A">
      <w:pPr>
        <w:pStyle w:val="Normlnweb"/>
        <w:numPr>
          <w:ilvl w:val="0"/>
          <w:numId w:val="12"/>
        </w:numPr>
        <w:jc w:val="both"/>
        <w:rPr>
          <w:rFonts w:asciiTheme="majorHAnsi" w:hAnsiTheme="majorHAnsi" w:cstheme="majorHAnsi"/>
        </w:rPr>
      </w:pPr>
      <w:r w:rsidRPr="0013593A">
        <w:rPr>
          <w:rStyle w:val="Siln"/>
          <w:rFonts w:asciiTheme="majorHAnsi" w:hAnsiTheme="majorHAnsi" w:cstheme="majorHAnsi"/>
        </w:rPr>
        <w:t>AI Act</w:t>
      </w:r>
      <w:r w:rsidRPr="0013593A">
        <w:rPr>
          <w:rFonts w:asciiTheme="majorHAnsi" w:hAnsiTheme="majorHAnsi" w:cstheme="majorHAnsi"/>
        </w:rPr>
        <w:t xml:space="preserve"> – regulace AI systémů, hodnocení rizik a správa dat,</w:t>
      </w:r>
    </w:p>
    <w:p w14:paraId="30E7D50E" w14:textId="77777777" w:rsidR="006046E7" w:rsidRPr="0013593A" w:rsidRDefault="006046E7" w:rsidP="0013593A">
      <w:pPr>
        <w:pStyle w:val="Normlnweb"/>
        <w:numPr>
          <w:ilvl w:val="0"/>
          <w:numId w:val="12"/>
        </w:numPr>
        <w:jc w:val="both"/>
        <w:rPr>
          <w:rFonts w:asciiTheme="majorHAnsi" w:hAnsiTheme="majorHAnsi" w:cstheme="majorHAnsi"/>
        </w:rPr>
      </w:pPr>
      <w:r w:rsidRPr="0013593A">
        <w:rPr>
          <w:rStyle w:val="Siln"/>
          <w:rFonts w:asciiTheme="majorHAnsi" w:hAnsiTheme="majorHAnsi" w:cstheme="majorHAnsi"/>
        </w:rPr>
        <w:t>ePrivacy</w:t>
      </w:r>
      <w:r w:rsidRPr="0013593A">
        <w:rPr>
          <w:rFonts w:asciiTheme="majorHAnsi" w:hAnsiTheme="majorHAnsi" w:cstheme="majorHAnsi"/>
        </w:rPr>
        <w:t xml:space="preserve"> – pravidla pro elektronickou komunikaci, cookies a consent management,</w:t>
      </w:r>
    </w:p>
    <w:p w14:paraId="48E5526D" w14:textId="77777777" w:rsidR="006046E7" w:rsidRPr="0013593A" w:rsidRDefault="006046E7" w:rsidP="0013593A">
      <w:pPr>
        <w:pStyle w:val="Normlnweb"/>
        <w:numPr>
          <w:ilvl w:val="0"/>
          <w:numId w:val="12"/>
        </w:numPr>
        <w:jc w:val="both"/>
        <w:rPr>
          <w:rFonts w:asciiTheme="majorHAnsi" w:hAnsiTheme="majorHAnsi" w:cstheme="majorHAnsi"/>
        </w:rPr>
      </w:pPr>
      <w:r w:rsidRPr="0013593A">
        <w:rPr>
          <w:rStyle w:val="Siln"/>
          <w:rFonts w:asciiTheme="majorHAnsi" w:hAnsiTheme="majorHAnsi" w:cstheme="majorHAnsi"/>
        </w:rPr>
        <w:t>Data Act</w:t>
      </w:r>
      <w:r w:rsidRPr="0013593A">
        <w:rPr>
          <w:rFonts w:asciiTheme="majorHAnsi" w:hAnsiTheme="majorHAnsi" w:cstheme="majorHAnsi"/>
        </w:rPr>
        <w:t xml:space="preserve"> – sdílení a přenos dat mezi subjekty, cloud switching, B2G,</w:t>
      </w:r>
    </w:p>
    <w:p w14:paraId="2097FF5C" w14:textId="77777777" w:rsidR="006046E7" w:rsidRPr="0013593A" w:rsidRDefault="006046E7" w:rsidP="0013593A">
      <w:pPr>
        <w:pStyle w:val="Normlnweb"/>
        <w:numPr>
          <w:ilvl w:val="0"/>
          <w:numId w:val="12"/>
        </w:numPr>
        <w:jc w:val="both"/>
        <w:rPr>
          <w:rFonts w:asciiTheme="majorHAnsi" w:hAnsiTheme="majorHAnsi" w:cstheme="majorHAnsi"/>
        </w:rPr>
      </w:pPr>
      <w:r w:rsidRPr="0013593A">
        <w:rPr>
          <w:rStyle w:val="Siln"/>
          <w:rFonts w:asciiTheme="majorHAnsi" w:hAnsiTheme="majorHAnsi" w:cstheme="majorHAnsi"/>
        </w:rPr>
        <w:t>Accessibility Act</w:t>
      </w:r>
      <w:r w:rsidRPr="0013593A">
        <w:rPr>
          <w:rFonts w:asciiTheme="majorHAnsi" w:hAnsiTheme="majorHAnsi" w:cstheme="majorHAnsi"/>
        </w:rPr>
        <w:t xml:space="preserve"> – dostupnost produktů a služeb pro osoby se zdravotním znevýhodněním.</w:t>
      </w:r>
    </w:p>
    <w:p w14:paraId="7299C32C" w14:textId="3CD25B3F" w:rsidR="006046E7" w:rsidRPr="0013593A" w:rsidRDefault="006046E7" w:rsidP="0013593A">
      <w:pPr>
        <w:pStyle w:val="Normlnweb"/>
        <w:jc w:val="both"/>
        <w:rPr>
          <w:rFonts w:asciiTheme="majorHAnsi" w:hAnsiTheme="majorHAnsi" w:cstheme="majorHAnsi"/>
        </w:rPr>
      </w:pPr>
      <w:r w:rsidRPr="0013593A">
        <w:rPr>
          <w:rFonts w:asciiTheme="majorHAnsi" w:hAnsiTheme="majorHAnsi" w:cstheme="majorHAnsi"/>
        </w:rPr>
        <w:t xml:space="preserve">Pro organizace to znamená, že </w:t>
      </w:r>
      <w:r w:rsidRPr="0013593A">
        <w:rPr>
          <w:rStyle w:val="Siln"/>
          <w:rFonts w:asciiTheme="majorHAnsi" w:hAnsiTheme="majorHAnsi" w:cstheme="majorHAnsi"/>
        </w:rPr>
        <w:t>GDPR expert musí znát i ostatní regulace a umět je propojit</w:t>
      </w:r>
      <w:r w:rsidRPr="0013593A">
        <w:rPr>
          <w:rFonts w:asciiTheme="majorHAnsi" w:hAnsiTheme="majorHAnsi" w:cstheme="majorHAnsi"/>
        </w:rPr>
        <w:t xml:space="preserve"> tak, aby byla zajištěna komplexní compliance, důvěra a bezpečnost.</w:t>
      </w:r>
    </w:p>
    <w:p w14:paraId="0FE15AD0" w14:textId="440160BC" w:rsidR="006046E7" w:rsidRPr="0013593A" w:rsidRDefault="0013593A" w:rsidP="006046E7">
      <w:pPr>
        <w:pStyle w:val="Nadpis2"/>
        <w:rPr>
          <w:rFonts w:cstheme="majorHAnsi"/>
          <w:color w:val="E36C0A" w:themeColor="accent6" w:themeShade="BF"/>
          <w:sz w:val="24"/>
          <w:szCs w:val="24"/>
        </w:rPr>
      </w:pPr>
      <w:r w:rsidRPr="0013593A">
        <w:rPr>
          <w:rFonts w:cstheme="majorHAnsi"/>
          <w:color w:val="E36C0A" w:themeColor="accent6" w:themeShade="BF"/>
          <w:sz w:val="24"/>
          <w:szCs w:val="24"/>
        </w:rPr>
        <w:t>JAK EVROPSKÉ REGULACE NAVAZUJÍ NA GDPR</w:t>
      </w:r>
    </w:p>
    <w:tbl>
      <w:tblPr>
        <w:tblW w:w="10348" w:type="dxa"/>
        <w:tblCellSpacing w:w="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2"/>
        <w:gridCol w:w="4344"/>
        <w:gridCol w:w="3402"/>
      </w:tblGrid>
      <w:tr w:rsidR="006046E7" w:rsidRPr="0013593A" w14:paraId="32BBBED8" w14:textId="77777777" w:rsidTr="0013593A">
        <w:trPr>
          <w:tblHeader/>
          <w:tblCellSpacing w:w="15" w:type="dxa"/>
        </w:trPr>
        <w:tc>
          <w:tcPr>
            <w:tcW w:w="2557" w:type="dxa"/>
            <w:vAlign w:val="center"/>
            <w:hideMark/>
          </w:tcPr>
          <w:p w14:paraId="5365904A" w14:textId="77777777" w:rsidR="006046E7" w:rsidRPr="0013593A" w:rsidRDefault="006046E7" w:rsidP="0013593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3593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Oblast</w:t>
            </w:r>
          </w:p>
        </w:tc>
        <w:tc>
          <w:tcPr>
            <w:tcW w:w="4314" w:type="dxa"/>
            <w:vAlign w:val="center"/>
            <w:hideMark/>
          </w:tcPr>
          <w:p w14:paraId="7A5D3F98" w14:textId="77777777" w:rsidR="006046E7" w:rsidRPr="0013593A" w:rsidRDefault="006046E7" w:rsidP="0013593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3593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 přináší</w:t>
            </w:r>
          </w:p>
        </w:tc>
        <w:tc>
          <w:tcPr>
            <w:tcW w:w="3357" w:type="dxa"/>
            <w:vAlign w:val="center"/>
            <w:hideMark/>
          </w:tcPr>
          <w:p w14:paraId="665DACD1" w14:textId="77777777" w:rsidR="006046E7" w:rsidRPr="0013593A" w:rsidRDefault="006046E7" w:rsidP="0013593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3593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Vztah k GDPR</w:t>
            </w:r>
          </w:p>
        </w:tc>
      </w:tr>
      <w:tr w:rsidR="006046E7" w:rsidRPr="0013593A" w14:paraId="400B3F5D" w14:textId="77777777" w:rsidTr="0013593A">
        <w:trPr>
          <w:tblCellSpacing w:w="15" w:type="dxa"/>
        </w:trPr>
        <w:tc>
          <w:tcPr>
            <w:tcW w:w="2557" w:type="dxa"/>
            <w:vAlign w:val="center"/>
            <w:hideMark/>
          </w:tcPr>
          <w:p w14:paraId="6795340A" w14:textId="77777777" w:rsidR="006046E7" w:rsidRPr="0013593A" w:rsidRDefault="006046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593A">
              <w:rPr>
                <w:rFonts w:asciiTheme="majorHAnsi" w:hAnsiTheme="majorHAnsi" w:cstheme="majorHAnsi"/>
                <w:sz w:val="24"/>
                <w:szCs w:val="24"/>
              </w:rPr>
              <w:t>ISO 27001/27701 &amp; NIS2</w:t>
            </w:r>
          </w:p>
        </w:tc>
        <w:tc>
          <w:tcPr>
            <w:tcW w:w="4314" w:type="dxa"/>
            <w:vAlign w:val="center"/>
            <w:hideMark/>
          </w:tcPr>
          <w:p w14:paraId="61FA6016" w14:textId="77777777" w:rsidR="006046E7" w:rsidRPr="0013593A" w:rsidRDefault="006046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593A">
              <w:rPr>
                <w:rFonts w:asciiTheme="majorHAnsi" w:hAnsiTheme="majorHAnsi" w:cstheme="majorHAnsi"/>
                <w:sz w:val="24"/>
                <w:szCs w:val="24"/>
              </w:rPr>
              <w:t>Systémy bezpečnosti informací a ochrany dat, řízení rizik, hlášení incidentů</w:t>
            </w:r>
          </w:p>
        </w:tc>
        <w:tc>
          <w:tcPr>
            <w:tcW w:w="3357" w:type="dxa"/>
            <w:vAlign w:val="center"/>
            <w:hideMark/>
          </w:tcPr>
          <w:p w14:paraId="5D4520E1" w14:textId="77777777" w:rsidR="006046E7" w:rsidRPr="0013593A" w:rsidRDefault="006046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593A">
              <w:rPr>
                <w:rFonts w:asciiTheme="majorHAnsi" w:hAnsiTheme="majorHAnsi" w:cstheme="majorHAnsi"/>
                <w:sz w:val="24"/>
                <w:szCs w:val="24"/>
              </w:rPr>
              <w:t>Podpora technických a organizačních opatření dle GDPR, integrace incident managementu</w:t>
            </w:r>
          </w:p>
        </w:tc>
      </w:tr>
      <w:tr w:rsidR="006046E7" w:rsidRPr="0013593A" w14:paraId="0A85206D" w14:textId="77777777" w:rsidTr="0013593A">
        <w:trPr>
          <w:tblCellSpacing w:w="15" w:type="dxa"/>
        </w:trPr>
        <w:tc>
          <w:tcPr>
            <w:tcW w:w="2557" w:type="dxa"/>
            <w:vAlign w:val="center"/>
            <w:hideMark/>
          </w:tcPr>
          <w:p w14:paraId="0A8AB4A5" w14:textId="77777777" w:rsidR="006046E7" w:rsidRPr="0013593A" w:rsidRDefault="006046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593A">
              <w:rPr>
                <w:rFonts w:asciiTheme="majorHAnsi" w:hAnsiTheme="majorHAnsi" w:cstheme="majorHAnsi"/>
                <w:sz w:val="24"/>
                <w:szCs w:val="24"/>
              </w:rPr>
              <w:t>SCCs, DPA, BCR, DTIA</w:t>
            </w:r>
          </w:p>
        </w:tc>
        <w:tc>
          <w:tcPr>
            <w:tcW w:w="4314" w:type="dxa"/>
            <w:vAlign w:val="center"/>
            <w:hideMark/>
          </w:tcPr>
          <w:p w14:paraId="0640D9F6" w14:textId="77777777" w:rsidR="006046E7" w:rsidRPr="0013593A" w:rsidRDefault="006046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593A">
              <w:rPr>
                <w:rFonts w:asciiTheme="majorHAnsi" w:hAnsiTheme="majorHAnsi" w:cstheme="majorHAnsi"/>
                <w:sz w:val="24"/>
                <w:szCs w:val="24"/>
              </w:rPr>
              <w:t>Mezinárodní přenosy dat, smlouvy mezi správcem a zpracovatelem</w:t>
            </w:r>
          </w:p>
        </w:tc>
        <w:tc>
          <w:tcPr>
            <w:tcW w:w="3357" w:type="dxa"/>
            <w:vAlign w:val="center"/>
            <w:hideMark/>
          </w:tcPr>
          <w:p w14:paraId="00F678CE" w14:textId="77777777" w:rsidR="006046E7" w:rsidRPr="0013593A" w:rsidRDefault="006046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593A">
              <w:rPr>
                <w:rFonts w:asciiTheme="majorHAnsi" w:hAnsiTheme="majorHAnsi" w:cstheme="majorHAnsi"/>
                <w:sz w:val="24"/>
                <w:szCs w:val="24"/>
              </w:rPr>
              <w:t>Splnění článků GDPR 28 a 44–49, zajištění zákonnosti a auditovatelnosti</w:t>
            </w:r>
          </w:p>
        </w:tc>
      </w:tr>
      <w:tr w:rsidR="006046E7" w:rsidRPr="0013593A" w14:paraId="715B7B84" w14:textId="77777777" w:rsidTr="0013593A">
        <w:trPr>
          <w:tblCellSpacing w:w="15" w:type="dxa"/>
        </w:trPr>
        <w:tc>
          <w:tcPr>
            <w:tcW w:w="2557" w:type="dxa"/>
            <w:vAlign w:val="center"/>
            <w:hideMark/>
          </w:tcPr>
          <w:p w14:paraId="3039A1CF" w14:textId="77777777" w:rsidR="006046E7" w:rsidRPr="0013593A" w:rsidRDefault="006046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593A">
              <w:rPr>
                <w:rFonts w:asciiTheme="majorHAnsi" w:hAnsiTheme="majorHAnsi" w:cstheme="majorHAnsi"/>
                <w:sz w:val="24"/>
                <w:szCs w:val="24"/>
              </w:rPr>
              <w:t>Incident Response / Breach Notification</w:t>
            </w:r>
          </w:p>
        </w:tc>
        <w:tc>
          <w:tcPr>
            <w:tcW w:w="4314" w:type="dxa"/>
            <w:vAlign w:val="center"/>
            <w:hideMark/>
          </w:tcPr>
          <w:p w14:paraId="2E01479F" w14:textId="77777777" w:rsidR="006046E7" w:rsidRPr="0013593A" w:rsidRDefault="006046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593A">
              <w:rPr>
                <w:rFonts w:asciiTheme="majorHAnsi" w:hAnsiTheme="majorHAnsi" w:cstheme="majorHAnsi"/>
                <w:sz w:val="24"/>
                <w:szCs w:val="24"/>
              </w:rPr>
              <w:t>Detekce, eskalace a oznamování incidentů</w:t>
            </w:r>
          </w:p>
        </w:tc>
        <w:tc>
          <w:tcPr>
            <w:tcW w:w="3357" w:type="dxa"/>
            <w:vAlign w:val="center"/>
            <w:hideMark/>
          </w:tcPr>
          <w:p w14:paraId="0225708D" w14:textId="77777777" w:rsidR="006046E7" w:rsidRPr="0013593A" w:rsidRDefault="006046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593A">
              <w:rPr>
                <w:rFonts w:asciiTheme="majorHAnsi" w:hAnsiTheme="majorHAnsi" w:cstheme="majorHAnsi"/>
                <w:sz w:val="24"/>
                <w:szCs w:val="24"/>
              </w:rPr>
              <w:t>Povinnost hlášení porušení do 72 hodin dle GDPR články 33–34, sladění s NIS2</w:t>
            </w:r>
          </w:p>
        </w:tc>
      </w:tr>
      <w:tr w:rsidR="006046E7" w:rsidRPr="0013593A" w14:paraId="6E333666" w14:textId="77777777" w:rsidTr="0013593A">
        <w:trPr>
          <w:tblCellSpacing w:w="15" w:type="dxa"/>
        </w:trPr>
        <w:tc>
          <w:tcPr>
            <w:tcW w:w="2557" w:type="dxa"/>
            <w:vAlign w:val="center"/>
            <w:hideMark/>
          </w:tcPr>
          <w:p w14:paraId="5D9E788B" w14:textId="77777777" w:rsidR="006046E7" w:rsidRPr="0013593A" w:rsidRDefault="006046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593A">
              <w:rPr>
                <w:rFonts w:asciiTheme="majorHAnsi" w:hAnsiTheme="majorHAnsi" w:cstheme="majorHAnsi"/>
                <w:sz w:val="24"/>
                <w:szCs w:val="24"/>
              </w:rPr>
              <w:t>ePrivacy a cookies</w:t>
            </w:r>
          </w:p>
        </w:tc>
        <w:tc>
          <w:tcPr>
            <w:tcW w:w="4314" w:type="dxa"/>
            <w:vAlign w:val="center"/>
            <w:hideMark/>
          </w:tcPr>
          <w:p w14:paraId="23834FEE" w14:textId="77777777" w:rsidR="006046E7" w:rsidRPr="0013593A" w:rsidRDefault="006046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593A">
              <w:rPr>
                <w:rFonts w:asciiTheme="majorHAnsi" w:hAnsiTheme="majorHAnsi" w:cstheme="majorHAnsi"/>
                <w:sz w:val="24"/>
                <w:szCs w:val="24"/>
              </w:rPr>
              <w:t>Souhlas s ukládáním a čtením informací v koncových zařízeních</w:t>
            </w:r>
          </w:p>
        </w:tc>
        <w:tc>
          <w:tcPr>
            <w:tcW w:w="3357" w:type="dxa"/>
            <w:vAlign w:val="center"/>
            <w:hideMark/>
          </w:tcPr>
          <w:p w14:paraId="7F9E125B" w14:textId="77777777" w:rsidR="006046E7" w:rsidRPr="0013593A" w:rsidRDefault="006046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593A">
              <w:rPr>
                <w:rFonts w:asciiTheme="majorHAnsi" w:hAnsiTheme="majorHAnsi" w:cstheme="majorHAnsi"/>
                <w:sz w:val="24"/>
                <w:szCs w:val="24"/>
              </w:rPr>
              <w:t>Transparentnost, práva subjektů, správné logování souhlasů</w:t>
            </w:r>
          </w:p>
        </w:tc>
      </w:tr>
      <w:tr w:rsidR="006046E7" w:rsidRPr="0013593A" w14:paraId="5B6B9482" w14:textId="77777777" w:rsidTr="0013593A">
        <w:trPr>
          <w:tblCellSpacing w:w="15" w:type="dxa"/>
        </w:trPr>
        <w:tc>
          <w:tcPr>
            <w:tcW w:w="2557" w:type="dxa"/>
            <w:vAlign w:val="center"/>
            <w:hideMark/>
          </w:tcPr>
          <w:p w14:paraId="3DBAE54F" w14:textId="77777777" w:rsidR="006046E7" w:rsidRPr="0013593A" w:rsidRDefault="006046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593A">
              <w:rPr>
                <w:rFonts w:asciiTheme="majorHAnsi" w:hAnsiTheme="majorHAnsi" w:cstheme="majorHAnsi"/>
                <w:sz w:val="24"/>
                <w:szCs w:val="24"/>
              </w:rPr>
              <w:t>AI Act &amp; ISO 42001</w:t>
            </w:r>
          </w:p>
        </w:tc>
        <w:tc>
          <w:tcPr>
            <w:tcW w:w="4314" w:type="dxa"/>
            <w:vAlign w:val="center"/>
            <w:hideMark/>
          </w:tcPr>
          <w:p w14:paraId="45FBE416" w14:textId="77777777" w:rsidR="006046E7" w:rsidRPr="0013593A" w:rsidRDefault="006046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593A">
              <w:rPr>
                <w:rFonts w:asciiTheme="majorHAnsi" w:hAnsiTheme="majorHAnsi" w:cstheme="majorHAnsi"/>
                <w:sz w:val="24"/>
                <w:szCs w:val="24"/>
              </w:rPr>
              <w:t>Řízení rizik AI, správa dat, transparentnost, dokumentace</w:t>
            </w:r>
          </w:p>
        </w:tc>
        <w:tc>
          <w:tcPr>
            <w:tcW w:w="3357" w:type="dxa"/>
            <w:vAlign w:val="center"/>
            <w:hideMark/>
          </w:tcPr>
          <w:p w14:paraId="6B69F868" w14:textId="77777777" w:rsidR="006046E7" w:rsidRPr="0013593A" w:rsidRDefault="006046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593A">
              <w:rPr>
                <w:rFonts w:asciiTheme="majorHAnsi" w:hAnsiTheme="majorHAnsi" w:cstheme="majorHAnsi"/>
                <w:sz w:val="24"/>
                <w:szCs w:val="24"/>
              </w:rPr>
              <w:t>Povinnosti při zpracování osobních údajů v AI, DPIA, vysvětlitelnost, minimalizace dat</w:t>
            </w:r>
          </w:p>
        </w:tc>
      </w:tr>
      <w:tr w:rsidR="006046E7" w:rsidRPr="0013593A" w14:paraId="296C042E" w14:textId="77777777" w:rsidTr="0013593A">
        <w:trPr>
          <w:tblCellSpacing w:w="15" w:type="dxa"/>
        </w:trPr>
        <w:tc>
          <w:tcPr>
            <w:tcW w:w="2557" w:type="dxa"/>
            <w:vAlign w:val="center"/>
            <w:hideMark/>
          </w:tcPr>
          <w:p w14:paraId="492D1A44" w14:textId="77777777" w:rsidR="006046E7" w:rsidRPr="0013593A" w:rsidRDefault="006046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593A">
              <w:rPr>
                <w:rFonts w:asciiTheme="majorHAnsi" w:hAnsiTheme="majorHAnsi" w:cstheme="majorHAnsi"/>
                <w:sz w:val="24"/>
                <w:szCs w:val="24"/>
              </w:rPr>
              <w:t>Data Act</w:t>
            </w:r>
          </w:p>
        </w:tc>
        <w:tc>
          <w:tcPr>
            <w:tcW w:w="4314" w:type="dxa"/>
            <w:vAlign w:val="center"/>
            <w:hideMark/>
          </w:tcPr>
          <w:p w14:paraId="625570C7" w14:textId="77777777" w:rsidR="006046E7" w:rsidRPr="0013593A" w:rsidRDefault="006046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593A">
              <w:rPr>
                <w:rFonts w:asciiTheme="majorHAnsi" w:hAnsiTheme="majorHAnsi" w:cstheme="majorHAnsi"/>
                <w:sz w:val="24"/>
                <w:szCs w:val="24"/>
              </w:rPr>
              <w:t>Přístup, sdílení a přenos dat mezi subjekty</w:t>
            </w:r>
          </w:p>
        </w:tc>
        <w:tc>
          <w:tcPr>
            <w:tcW w:w="3357" w:type="dxa"/>
            <w:vAlign w:val="center"/>
            <w:hideMark/>
          </w:tcPr>
          <w:p w14:paraId="02D4667A" w14:textId="77777777" w:rsidR="006046E7" w:rsidRPr="0013593A" w:rsidRDefault="006046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593A">
              <w:rPr>
                <w:rFonts w:asciiTheme="majorHAnsi" w:hAnsiTheme="majorHAnsi" w:cstheme="majorHAnsi"/>
                <w:sz w:val="24"/>
                <w:szCs w:val="24"/>
              </w:rPr>
              <w:t>GDPR zůstává priorita pro osobní údaje, nutná integrace procesů</w:t>
            </w:r>
          </w:p>
        </w:tc>
      </w:tr>
      <w:tr w:rsidR="006046E7" w:rsidRPr="0013593A" w14:paraId="764B4600" w14:textId="77777777" w:rsidTr="0013593A">
        <w:trPr>
          <w:tblCellSpacing w:w="15" w:type="dxa"/>
        </w:trPr>
        <w:tc>
          <w:tcPr>
            <w:tcW w:w="2557" w:type="dxa"/>
            <w:vAlign w:val="center"/>
            <w:hideMark/>
          </w:tcPr>
          <w:p w14:paraId="2FE9127C" w14:textId="77777777" w:rsidR="006046E7" w:rsidRPr="0013593A" w:rsidRDefault="006046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593A">
              <w:rPr>
                <w:rFonts w:asciiTheme="majorHAnsi" w:hAnsiTheme="majorHAnsi" w:cstheme="majorHAnsi"/>
                <w:sz w:val="24"/>
                <w:szCs w:val="24"/>
              </w:rPr>
              <w:t>Accessibility Act</w:t>
            </w:r>
          </w:p>
        </w:tc>
        <w:tc>
          <w:tcPr>
            <w:tcW w:w="4314" w:type="dxa"/>
            <w:vAlign w:val="center"/>
            <w:hideMark/>
          </w:tcPr>
          <w:p w14:paraId="1B76EB40" w14:textId="77777777" w:rsidR="006046E7" w:rsidRPr="0013593A" w:rsidRDefault="006046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593A">
              <w:rPr>
                <w:rFonts w:asciiTheme="majorHAnsi" w:hAnsiTheme="majorHAnsi" w:cstheme="majorHAnsi"/>
                <w:sz w:val="24"/>
                <w:szCs w:val="24"/>
              </w:rPr>
              <w:t>Dostupnost produktů a služeb pro zdravotně znevýhodněné</w:t>
            </w:r>
          </w:p>
        </w:tc>
        <w:tc>
          <w:tcPr>
            <w:tcW w:w="3357" w:type="dxa"/>
            <w:vAlign w:val="center"/>
            <w:hideMark/>
          </w:tcPr>
          <w:p w14:paraId="3C2BC5AD" w14:textId="77777777" w:rsidR="006046E7" w:rsidRPr="0013593A" w:rsidRDefault="006046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593A">
              <w:rPr>
                <w:rFonts w:asciiTheme="majorHAnsi" w:hAnsiTheme="majorHAnsi" w:cstheme="majorHAnsi"/>
                <w:sz w:val="24"/>
                <w:szCs w:val="24"/>
              </w:rPr>
              <w:t>Podpora transparentnosti a spravedlivého přístupu k právům subjektů údajů</w:t>
            </w:r>
          </w:p>
        </w:tc>
      </w:tr>
    </w:tbl>
    <w:p w14:paraId="40C96B21" w14:textId="77777777" w:rsidR="006046E7" w:rsidRPr="0013593A" w:rsidRDefault="006046E7" w:rsidP="006046E7">
      <w:pPr>
        <w:rPr>
          <w:rFonts w:asciiTheme="majorHAnsi" w:hAnsiTheme="majorHAnsi" w:cstheme="majorHAnsi"/>
          <w:sz w:val="24"/>
          <w:szCs w:val="24"/>
        </w:rPr>
      </w:pPr>
      <w:r w:rsidRPr="0013593A">
        <w:rPr>
          <w:rFonts w:asciiTheme="majorHAnsi" w:hAnsiTheme="majorHAnsi" w:cstheme="majorHAnsi"/>
          <w:sz w:val="24"/>
          <w:szCs w:val="24"/>
        </w:rPr>
        <w:pict w14:anchorId="51745398">
          <v:rect id="_x0000_i1177" style="width:0;height:1.5pt" o:hralign="center" o:hrstd="t" o:hr="t" fillcolor="#a0a0a0" stroked="f"/>
        </w:pict>
      </w:r>
    </w:p>
    <w:p w14:paraId="0A1FB805" w14:textId="4D26AADB" w:rsidR="006046E7" w:rsidRPr="0013593A" w:rsidRDefault="0013593A" w:rsidP="006046E7">
      <w:pPr>
        <w:pStyle w:val="Nadpis2"/>
        <w:rPr>
          <w:rFonts w:cstheme="majorHAnsi"/>
          <w:color w:val="E36C0A" w:themeColor="accent6" w:themeShade="BF"/>
          <w:sz w:val="24"/>
          <w:szCs w:val="24"/>
        </w:rPr>
      </w:pPr>
      <w:r w:rsidRPr="0013593A">
        <w:rPr>
          <w:rFonts w:cstheme="majorHAnsi"/>
          <w:color w:val="E36C0A" w:themeColor="accent6" w:themeShade="BF"/>
          <w:sz w:val="24"/>
          <w:szCs w:val="24"/>
        </w:rPr>
        <w:t>PRAKTICKÝ PŘÍNOS PRO ŠKOLY, MALÉ A STŘEDNÍ FIRMY A NEZISKOVKY</w:t>
      </w:r>
    </w:p>
    <w:p w14:paraId="7DE341EC" w14:textId="77777777" w:rsidR="006046E7" w:rsidRPr="0013593A" w:rsidRDefault="006046E7" w:rsidP="0013593A">
      <w:pPr>
        <w:pStyle w:val="Normlnweb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r w:rsidRPr="0013593A">
        <w:rPr>
          <w:rStyle w:val="Siln"/>
          <w:rFonts w:asciiTheme="majorHAnsi" w:hAnsiTheme="majorHAnsi" w:cstheme="majorHAnsi"/>
        </w:rPr>
        <w:t>Snížení rizik</w:t>
      </w:r>
      <w:r w:rsidRPr="0013593A">
        <w:rPr>
          <w:rFonts w:asciiTheme="majorHAnsi" w:hAnsiTheme="majorHAnsi" w:cstheme="majorHAnsi"/>
        </w:rPr>
        <w:t xml:space="preserve"> – integrace regulací pomáhá předcházet pokutám a reputačním škodám.</w:t>
      </w:r>
    </w:p>
    <w:p w14:paraId="1264FE16" w14:textId="77777777" w:rsidR="006046E7" w:rsidRPr="0013593A" w:rsidRDefault="006046E7" w:rsidP="0013593A">
      <w:pPr>
        <w:pStyle w:val="Normlnweb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r w:rsidRPr="0013593A">
        <w:rPr>
          <w:rStyle w:val="Siln"/>
          <w:rFonts w:asciiTheme="majorHAnsi" w:hAnsiTheme="majorHAnsi" w:cstheme="majorHAnsi"/>
        </w:rPr>
        <w:t>Efektivní procesy</w:t>
      </w:r>
      <w:r w:rsidRPr="0013593A">
        <w:rPr>
          <w:rFonts w:asciiTheme="majorHAnsi" w:hAnsiTheme="majorHAnsi" w:cstheme="majorHAnsi"/>
        </w:rPr>
        <w:t xml:space="preserve"> – jasné postupy pro incidenty, AI, cookies a sdílení dat.</w:t>
      </w:r>
    </w:p>
    <w:p w14:paraId="47745581" w14:textId="77777777" w:rsidR="006046E7" w:rsidRPr="0013593A" w:rsidRDefault="006046E7" w:rsidP="0013593A">
      <w:pPr>
        <w:pStyle w:val="Normlnweb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r w:rsidRPr="0013593A">
        <w:rPr>
          <w:rStyle w:val="Siln"/>
          <w:rFonts w:asciiTheme="majorHAnsi" w:hAnsiTheme="majorHAnsi" w:cstheme="majorHAnsi"/>
        </w:rPr>
        <w:t>Důvěra klientů a veřejnosti</w:t>
      </w:r>
      <w:r w:rsidRPr="0013593A">
        <w:rPr>
          <w:rFonts w:asciiTheme="majorHAnsi" w:hAnsiTheme="majorHAnsi" w:cstheme="majorHAnsi"/>
        </w:rPr>
        <w:t xml:space="preserve"> – transparentní a bezpečné nakládání s daty podporuje reputaci.</w:t>
      </w:r>
    </w:p>
    <w:p w14:paraId="55010297" w14:textId="77777777" w:rsidR="006046E7" w:rsidRPr="0013593A" w:rsidRDefault="006046E7" w:rsidP="0013593A">
      <w:pPr>
        <w:pStyle w:val="Normlnweb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r w:rsidRPr="0013593A">
        <w:rPr>
          <w:rStyle w:val="Siln"/>
          <w:rFonts w:asciiTheme="majorHAnsi" w:hAnsiTheme="majorHAnsi" w:cstheme="majorHAnsi"/>
        </w:rPr>
        <w:t>Připravenost na audity</w:t>
      </w:r>
      <w:r w:rsidRPr="0013593A">
        <w:rPr>
          <w:rFonts w:asciiTheme="majorHAnsi" w:hAnsiTheme="majorHAnsi" w:cstheme="majorHAnsi"/>
        </w:rPr>
        <w:t xml:space="preserve"> – aktuální dokumentace a procesy usnadňují kontrolu.</w:t>
      </w:r>
    </w:p>
    <w:p w14:paraId="22CD34B2" w14:textId="77777777" w:rsidR="006046E7" w:rsidRPr="0013593A" w:rsidRDefault="006046E7" w:rsidP="006046E7">
      <w:pPr>
        <w:rPr>
          <w:rFonts w:asciiTheme="majorHAnsi" w:hAnsiTheme="majorHAnsi" w:cstheme="majorHAnsi"/>
          <w:sz w:val="24"/>
          <w:szCs w:val="24"/>
        </w:rPr>
      </w:pPr>
      <w:r w:rsidRPr="0013593A">
        <w:rPr>
          <w:rFonts w:asciiTheme="majorHAnsi" w:hAnsiTheme="majorHAnsi" w:cstheme="majorHAnsi"/>
          <w:sz w:val="24"/>
          <w:szCs w:val="24"/>
        </w:rPr>
        <w:pict w14:anchorId="76B7C1C3">
          <v:rect id="_x0000_i1178" style="width:0;height:1.5pt" o:hralign="center" o:hrstd="t" o:hr="t" fillcolor="#a0a0a0" stroked="f"/>
        </w:pict>
      </w:r>
    </w:p>
    <w:p w14:paraId="356B6256" w14:textId="1DDF9E6E" w:rsidR="006046E7" w:rsidRPr="0013593A" w:rsidRDefault="0013593A" w:rsidP="006046E7">
      <w:pPr>
        <w:pStyle w:val="Nadpis2"/>
        <w:rPr>
          <w:rFonts w:cstheme="majorHAnsi"/>
          <w:color w:val="E36C0A" w:themeColor="accent6" w:themeShade="BF"/>
          <w:sz w:val="24"/>
          <w:szCs w:val="24"/>
        </w:rPr>
      </w:pPr>
      <w:r w:rsidRPr="0013593A">
        <w:rPr>
          <w:rFonts w:cstheme="majorHAnsi"/>
          <w:color w:val="E36C0A" w:themeColor="accent6" w:themeShade="BF"/>
          <w:sz w:val="24"/>
          <w:szCs w:val="24"/>
        </w:rPr>
        <w:t>ZÁVĚR</w:t>
      </w:r>
    </w:p>
    <w:p w14:paraId="73A856A1" w14:textId="77777777" w:rsidR="006046E7" w:rsidRPr="0013593A" w:rsidRDefault="006046E7" w:rsidP="0013593A">
      <w:pPr>
        <w:pStyle w:val="Normlnweb"/>
        <w:jc w:val="both"/>
        <w:rPr>
          <w:rFonts w:asciiTheme="majorHAnsi" w:hAnsiTheme="majorHAnsi" w:cstheme="majorHAnsi"/>
        </w:rPr>
      </w:pPr>
      <w:r w:rsidRPr="0013593A">
        <w:rPr>
          <w:rFonts w:asciiTheme="majorHAnsi" w:hAnsiTheme="majorHAnsi" w:cstheme="majorHAnsi"/>
        </w:rPr>
        <w:t xml:space="preserve">GDPR zůstává pevnou oporou ochrany osobních údajů, ale samo o sobě už nestačí. </w:t>
      </w:r>
      <w:r w:rsidRPr="0013593A">
        <w:rPr>
          <w:rStyle w:val="Siln"/>
          <w:rFonts w:asciiTheme="majorHAnsi" w:hAnsiTheme="majorHAnsi" w:cstheme="majorHAnsi"/>
        </w:rPr>
        <w:t>Nové evropské regulace</w:t>
      </w:r>
      <w:r w:rsidRPr="0013593A">
        <w:rPr>
          <w:rFonts w:asciiTheme="majorHAnsi" w:hAnsiTheme="majorHAnsi" w:cstheme="majorHAnsi"/>
        </w:rPr>
        <w:t xml:space="preserve"> vyžadují systematický, komplexní a propojený přístup.</w:t>
      </w:r>
    </w:p>
    <w:p w14:paraId="1C105314" w14:textId="77777777" w:rsidR="006046E7" w:rsidRPr="0013593A" w:rsidRDefault="006046E7" w:rsidP="0013593A">
      <w:pPr>
        <w:pStyle w:val="Normlnweb"/>
        <w:jc w:val="both"/>
        <w:rPr>
          <w:rFonts w:asciiTheme="majorHAnsi" w:hAnsiTheme="majorHAnsi" w:cstheme="majorHAnsi"/>
        </w:rPr>
      </w:pPr>
      <w:r w:rsidRPr="0013593A">
        <w:rPr>
          <w:rFonts w:asciiTheme="majorHAnsi" w:hAnsiTheme="majorHAnsi" w:cstheme="majorHAnsi"/>
        </w:rPr>
        <w:t xml:space="preserve">Organizace, které integrují GDPR, NIS2, AI Act, ePrivacy a další předpisy do svých procesů, získávají </w:t>
      </w:r>
      <w:r w:rsidRPr="0013593A">
        <w:rPr>
          <w:rStyle w:val="Siln"/>
          <w:rFonts w:asciiTheme="majorHAnsi" w:hAnsiTheme="majorHAnsi" w:cstheme="majorHAnsi"/>
        </w:rPr>
        <w:t>konkurenční výhodu</w:t>
      </w:r>
      <w:r w:rsidRPr="0013593A">
        <w:rPr>
          <w:rFonts w:asciiTheme="majorHAnsi" w:hAnsiTheme="majorHAnsi" w:cstheme="majorHAnsi"/>
        </w:rPr>
        <w:t>: vyšší odolnost vůči rizikům, důvěru veřejnosti a stabilitu při auditech i změnách legislativy.</w:t>
      </w:r>
    </w:p>
    <w:p w14:paraId="394FF205" w14:textId="77777777" w:rsidR="006046E7" w:rsidRPr="0013593A" w:rsidRDefault="006046E7" w:rsidP="0013593A">
      <w:pPr>
        <w:pStyle w:val="Normlnweb"/>
        <w:jc w:val="both"/>
        <w:rPr>
          <w:rFonts w:asciiTheme="majorHAnsi" w:hAnsiTheme="majorHAnsi" w:cstheme="majorHAnsi"/>
        </w:rPr>
      </w:pPr>
      <w:r w:rsidRPr="0013593A">
        <w:rPr>
          <w:rStyle w:val="Siln"/>
          <w:rFonts w:asciiTheme="majorHAnsi" w:hAnsiTheme="majorHAnsi" w:cstheme="majorHAnsi"/>
        </w:rPr>
        <w:t>Shrnutí pro praxi:</w:t>
      </w:r>
      <w:r w:rsidRPr="0013593A">
        <w:rPr>
          <w:rFonts w:asciiTheme="majorHAnsi" w:hAnsiTheme="majorHAnsi" w:cstheme="majorHAnsi"/>
        </w:rPr>
        <w:t xml:space="preserve"> krok zpět, revize procesů, aktualizace dokumentace a integrace nových regulací do každodenního provozu je cestou, jak být v digitální ekonomice připraven a bezpečný.</w:t>
      </w:r>
    </w:p>
    <w:p w14:paraId="4F353BE4" w14:textId="4EFE8D6A" w:rsidR="00D23F6E" w:rsidRPr="0013593A" w:rsidRDefault="00D23F6E" w:rsidP="00D322F7">
      <w:pPr>
        <w:rPr>
          <w:rFonts w:asciiTheme="majorHAnsi" w:hAnsiTheme="majorHAnsi" w:cstheme="majorHAnsi"/>
          <w:sz w:val="24"/>
          <w:szCs w:val="24"/>
        </w:rPr>
      </w:pPr>
    </w:p>
    <w:sectPr w:rsidR="00D23F6E" w:rsidRPr="0013593A" w:rsidSect="00306858">
      <w:headerReference w:type="default" r:id="rId9"/>
      <w:footerReference w:type="default" r:id="rId10"/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3DB07" w14:textId="77777777" w:rsidR="00823E3A" w:rsidRDefault="00823E3A" w:rsidP="000657C9">
      <w:pPr>
        <w:spacing w:after="0" w:line="240" w:lineRule="auto"/>
      </w:pPr>
      <w:r>
        <w:separator/>
      </w:r>
    </w:p>
  </w:endnote>
  <w:endnote w:type="continuationSeparator" w:id="0">
    <w:p w14:paraId="2A5A064D" w14:textId="77777777" w:rsidR="00823E3A" w:rsidRDefault="00823E3A" w:rsidP="0006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3835707"/>
      <w:docPartObj>
        <w:docPartGallery w:val="Page Numbers (Bottom of Page)"/>
        <w:docPartUnique/>
      </w:docPartObj>
    </w:sdtPr>
    <w:sdtContent>
      <w:p w14:paraId="45F00048" w14:textId="77777777" w:rsidR="00823E3A" w:rsidRPr="00306858" w:rsidRDefault="00823E3A" w:rsidP="00306858">
        <w:pPr>
          <w:pStyle w:val="Zpat"/>
          <w:jc w:val="center"/>
        </w:pPr>
        <w:r>
          <w:rPr>
            <w:rStyle w:val="Zdraznn"/>
          </w:rPr>
          <w:t xml:space="preserve">Mgr. Jana Pavlovičová | +420 721 884 334 | Na Spálence 715/3, Ústí nad Labem| </w:t>
        </w:r>
        <w:r w:rsidRPr="00306858">
          <w:rPr>
            <w:b/>
          </w:rPr>
          <w:t>gdpr.pavlovic.cz</w:t>
        </w:r>
      </w:p>
      <w:p w14:paraId="23479829" w14:textId="77777777" w:rsidR="00823E3A" w:rsidRDefault="00823E3A">
        <w:pPr>
          <w:pStyle w:val="Zpat"/>
        </w:pPr>
        <w:r>
          <w:rPr>
            <w:noProof/>
            <w:lang w:val="cs-CZ" w:eastAsia="cs-CZ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2A52C0DD" wp14:editId="43BDA3B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8" name="Obdélní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3F9879" w14:textId="53751E99" w:rsidR="00823E3A" w:rsidRDefault="00823E3A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3593A" w:rsidRPr="0013593A">
                                <w:rPr>
                                  <w:noProof/>
                                  <w:color w:val="C0504D" w:themeColor="accent2"/>
                                  <w:lang w:val="cs-CZ"/>
                                </w:rPr>
                                <w:t>1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A52C0DD" id="Obdélník 8" o:spid="_x0000_s1026" style="position:absolute;margin-left:0;margin-top:0;width:44.55pt;height:15.1pt;rotation:180;flip:x;z-index:25167257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" filled="f" fillcolor="#c0504d" stroked="f" strokecolor="#5c83b4" strokeweight="2.25pt">
                  <v:textbox inset=",0,,0">
                    <w:txbxContent>
                      <w:p w14:paraId="5D3F9879" w14:textId="53751E99" w:rsidR="00823E3A" w:rsidRDefault="00823E3A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3593A" w:rsidRPr="0013593A">
                          <w:rPr>
                            <w:noProof/>
                            <w:color w:val="C0504D" w:themeColor="accent2"/>
                            <w:lang w:val="cs-CZ"/>
                          </w:rPr>
                          <w:t>1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F38D8" w14:textId="77777777" w:rsidR="00823E3A" w:rsidRDefault="00823E3A" w:rsidP="000657C9">
      <w:pPr>
        <w:spacing w:after="0" w:line="240" w:lineRule="auto"/>
      </w:pPr>
      <w:r>
        <w:separator/>
      </w:r>
    </w:p>
  </w:footnote>
  <w:footnote w:type="continuationSeparator" w:id="0">
    <w:p w14:paraId="18F454A0" w14:textId="77777777" w:rsidR="00823E3A" w:rsidRDefault="00823E3A" w:rsidP="00065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2C3C6" w14:textId="77777777" w:rsidR="00823E3A" w:rsidRDefault="00823E3A">
    <w:pPr>
      <w:pStyle w:val="Zhlav"/>
    </w:pPr>
    <w:r w:rsidRPr="001F3134">
      <w:rPr>
        <w:noProof/>
        <w:lang w:val="cs-CZ" w:eastAsia="cs-CZ"/>
      </w:rPr>
      <w:drawing>
        <wp:anchor distT="0" distB="0" distL="114300" distR="114300" simplePos="0" relativeHeight="251670528" behindDoc="0" locked="0" layoutInCell="1" allowOverlap="1" wp14:anchorId="14C6278C" wp14:editId="10E7DE95">
          <wp:simplePos x="0" y="0"/>
          <wp:positionH relativeFrom="margin">
            <wp:posOffset>5227320</wp:posOffset>
          </wp:positionH>
          <wp:positionV relativeFrom="paragraph">
            <wp:posOffset>-457200</wp:posOffset>
          </wp:positionV>
          <wp:extent cx="1379220" cy="919480"/>
          <wp:effectExtent l="0" t="0" r="0" b="0"/>
          <wp:wrapTight wrapText="bothSides">
            <wp:wrapPolygon edited="0">
              <wp:start x="0" y="0"/>
              <wp:lineTo x="0" y="21033"/>
              <wp:lineTo x="21182" y="21033"/>
              <wp:lineTo x="2118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9220" cy="919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5DB7DBD"/>
    <w:multiLevelType w:val="multilevel"/>
    <w:tmpl w:val="3F34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D97406"/>
    <w:multiLevelType w:val="multilevel"/>
    <w:tmpl w:val="A0AE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7F4267"/>
    <w:multiLevelType w:val="multilevel"/>
    <w:tmpl w:val="50F0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2D3D45"/>
    <w:multiLevelType w:val="multilevel"/>
    <w:tmpl w:val="6F20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B51768"/>
    <w:multiLevelType w:val="multilevel"/>
    <w:tmpl w:val="5B52D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D63DD3"/>
    <w:multiLevelType w:val="multilevel"/>
    <w:tmpl w:val="EE28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8D4DD2"/>
    <w:multiLevelType w:val="multilevel"/>
    <w:tmpl w:val="4C3C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10"/>
  </w:num>
  <w:num w:numId="9">
    <w:abstractNumId w:val="11"/>
  </w:num>
  <w:num w:numId="10">
    <w:abstractNumId w:val="6"/>
  </w:num>
  <w:num w:numId="11">
    <w:abstractNumId w:val="12"/>
  </w:num>
  <w:num w:numId="12">
    <w:abstractNumId w:val="7"/>
  </w:num>
  <w:num w:numId="1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657C9"/>
    <w:rsid w:val="00133EE2"/>
    <w:rsid w:val="0013593A"/>
    <w:rsid w:val="0015074B"/>
    <w:rsid w:val="001901B9"/>
    <w:rsid w:val="0020492F"/>
    <w:rsid w:val="0021716C"/>
    <w:rsid w:val="0027561D"/>
    <w:rsid w:val="0029639D"/>
    <w:rsid w:val="002F439D"/>
    <w:rsid w:val="00306858"/>
    <w:rsid w:val="00326F90"/>
    <w:rsid w:val="00416930"/>
    <w:rsid w:val="00453E01"/>
    <w:rsid w:val="004B1E10"/>
    <w:rsid w:val="004F2542"/>
    <w:rsid w:val="00551552"/>
    <w:rsid w:val="00561045"/>
    <w:rsid w:val="006046E7"/>
    <w:rsid w:val="006A3467"/>
    <w:rsid w:val="00724E67"/>
    <w:rsid w:val="00734924"/>
    <w:rsid w:val="007543CF"/>
    <w:rsid w:val="00756210"/>
    <w:rsid w:val="00791535"/>
    <w:rsid w:val="007A630F"/>
    <w:rsid w:val="00823E3A"/>
    <w:rsid w:val="008B0A49"/>
    <w:rsid w:val="00966CB9"/>
    <w:rsid w:val="00AA1D8D"/>
    <w:rsid w:val="00B37EE9"/>
    <w:rsid w:val="00B44FBC"/>
    <w:rsid w:val="00B47730"/>
    <w:rsid w:val="00BB361D"/>
    <w:rsid w:val="00CB0664"/>
    <w:rsid w:val="00D23F6E"/>
    <w:rsid w:val="00D322F7"/>
    <w:rsid w:val="00D86187"/>
    <w:rsid w:val="00D87090"/>
    <w:rsid w:val="00DE2F69"/>
    <w:rsid w:val="00E62854"/>
    <w:rsid w:val="00EC7E95"/>
    <w:rsid w:val="00EF073C"/>
    <w:rsid w:val="00F77BF6"/>
    <w:rsid w:val="00FC693F"/>
    <w:rsid w:val="00FE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D07495C"/>
  <w14:defaultImageDpi w14:val="300"/>
  <w15:docId w15:val="{521819C5-DE43-465A-8A10-DE9691A0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4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5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FE2B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s-CZ"/>
    </w:rPr>
  </w:style>
  <w:style w:type="character" w:styleId="Hypertextovodkaz">
    <w:name w:val="Hyperlink"/>
    <w:basedOn w:val="Standardnpsmoodstavce"/>
    <w:uiPriority w:val="99"/>
    <w:unhideWhenUsed/>
    <w:rsid w:val="00D23F6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915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5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535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5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1535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535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75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8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ZÁSADY ZPRACOVÁNÍ OSOBNÍCH ÚDAJŮ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7CFA27-EB96-401D-9BFC-811372E8A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537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Jana Pavlovičová</cp:lastModifiedBy>
  <cp:revision>2</cp:revision>
  <dcterms:created xsi:type="dcterms:W3CDTF">2025-09-28T13:33:00Z</dcterms:created>
  <dcterms:modified xsi:type="dcterms:W3CDTF">2025-09-28T13:33:00Z</dcterms:modified>
  <cp:category/>
</cp:coreProperties>
</file>