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123B7" w14:textId="59989D9C" w:rsidR="00DE1513" w:rsidRPr="00DE1513" w:rsidRDefault="00DE1513" w:rsidP="00DE1513">
      <w:pPr>
        <w:pStyle w:val="Nadpis2"/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  <w:u w:val="single"/>
        </w:rPr>
      </w:pPr>
      <w:r w:rsidRPr="00DE1513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  <w:u w:val="single"/>
        </w:rPr>
        <w:t>MANUÁL OD POVĚŘENCE: JAK ODPOVÍDAT NA DO</w:t>
      </w:r>
      <w:r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  <w:u w:val="single"/>
        </w:rPr>
        <w:t>TAZY PODLE ZÁKONA Č. 106/1999 Sb</w:t>
      </w:r>
      <w:r w:rsidRPr="00DE1513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  <w:u w:val="single"/>
        </w:rPr>
        <w:t xml:space="preserve">. (ZÁKON O </w:t>
      </w:r>
      <w:r w:rsidR="00F82C62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  <w:u w:val="single"/>
        </w:rPr>
        <w:t>SVOBODNÉM PŘÍSTUPU K INFORMACÍM</w:t>
      </w:r>
      <w:r w:rsidRPr="00DE1513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  <w:u w:val="single"/>
        </w:rPr>
        <w:t>)</w:t>
      </w:r>
    </w:p>
    <w:p w14:paraId="3D62AA39" w14:textId="0438DDD9" w:rsidR="00DE1513" w:rsidRPr="00DE1513" w:rsidRDefault="00DE1513" w:rsidP="00F82C62">
      <w:pPr>
        <w:pStyle w:val="Normlnweb"/>
        <w:jc w:val="both"/>
      </w:pPr>
      <w:r w:rsidRPr="00DE1513">
        <w:t>Zákon č. 106/1999 Sb., o svobodném přístupu k</w:t>
      </w:r>
      <w:r w:rsidR="00F82C62">
        <w:t> </w:t>
      </w:r>
      <w:r w:rsidRPr="00DE1513">
        <w:t>informacím</w:t>
      </w:r>
      <w:r w:rsidR="00F82C62">
        <w:t>, často známý jako „stošestka“</w:t>
      </w:r>
      <w:r w:rsidRPr="00DE1513">
        <w:t xml:space="preserve"> (dále jen „InfZ“), ukládá povinným subjektům – jako jsou školy, školky, obce, příspěvkové organizace apod. – povinnost poskytovat veřejnosti informace. Jako pověřenec pro ochranu osobních údajů Vám nabízím praktický </w:t>
      </w:r>
      <w:r w:rsidRPr="00DE1513">
        <w:rPr>
          <w:rStyle w:val="Siln"/>
        </w:rPr>
        <w:t>návod, jak postupovat</w:t>
      </w:r>
      <w:r w:rsidRPr="00DE1513">
        <w:t>, když obdržíte žádost podle § 13 a násl. InfZ.</w:t>
      </w:r>
    </w:p>
    <w:p w14:paraId="0D293430" w14:textId="642CE55E" w:rsidR="00DE1513" w:rsidRPr="00DE1513" w:rsidRDefault="00DE1513" w:rsidP="00DE1513">
      <w:pPr>
        <w:pStyle w:val="Nadpis2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DE1513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 xml:space="preserve">KDY JDE O </w:t>
      </w:r>
      <w:r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ŽÁDOST PODLE ZÁKONA 106/1999 Sb</w:t>
      </w:r>
      <w:r w:rsidRPr="00DE1513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.</w:t>
      </w:r>
    </w:p>
    <w:p w14:paraId="00C3C300" w14:textId="77777777" w:rsidR="00DE1513" w:rsidRPr="00DE1513" w:rsidRDefault="00DE1513" w:rsidP="00DE1513">
      <w:pPr>
        <w:pStyle w:val="Normlnweb"/>
        <w:numPr>
          <w:ilvl w:val="0"/>
          <w:numId w:val="39"/>
        </w:numPr>
      </w:pPr>
      <w:r w:rsidRPr="00DE1513">
        <w:t xml:space="preserve">Jedná se o žádost od </w:t>
      </w:r>
      <w:r w:rsidRPr="00DE1513">
        <w:rPr>
          <w:rStyle w:val="Siln"/>
        </w:rPr>
        <w:t>kohokoliv</w:t>
      </w:r>
      <w:r w:rsidRPr="00DE1513">
        <w:t xml:space="preserve"> (fyzické nebo právnické osoby), která směřuje k získání </w:t>
      </w:r>
      <w:r w:rsidRPr="00DE1513">
        <w:rPr>
          <w:rStyle w:val="Siln"/>
        </w:rPr>
        <w:t>informací souvisejících s činností vaší organizace</w:t>
      </w:r>
      <w:r w:rsidRPr="00DE1513">
        <w:t>.</w:t>
      </w:r>
    </w:p>
    <w:p w14:paraId="711C74E5" w14:textId="77777777" w:rsidR="00DE1513" w:rsidRPr="00DE1513" w:rsidRDefault="00DE1513" w:rsidP="00DE1513">
      <w:pPr>
        <w:pStyle w:val="Normlnweb"/>
        <w:numPr>
          <w:ilvl w:val="0"/>
          <w:numId w:val="39"/>
        </w:numPr>
      </w:pPr>
      <w:r w:rsidRPr="00DE1513">
        <w:t>Nemusí být označena jako „žádost dle zákona č. 106/1999 Sb.“ – stačí, že má podstatu informačního požadavku.</w:t>
      </w:r>
    </w:p>
    <w:p w14:paraId="5B4843B1" w14:textId="1DA64098" w:rsidR="00DE1513" w:rsidRPr="00DE1513" w:rsidRDefault="00DE1513" w:rsidP="00DE1513">
      <w:pPr>
        <w:pStyle w:val="Normlnweb"/>
        <w:numPr>
          <w:ilvl w:val="0"/>
          <w:numId w:val="39"/>
        </w:numPr>
      </w:pPr>
      <w:r w:rsidRPr="00DE1513">
        <w:t xml:space="preserve">Může být podána </w:t>
      </w:r>
      <w:r w:rsidRPr="00DE1513">
        <w:rPr>
          <w:rStyle w:val="Siln"/>
        </w:rPr>
        <w:t>písemně, elek</w:t>
      </w:r>
      <w:bookmarkStart w:id="0" w:name="_GoBack"/>
      <w:bookmarkEnd w:id="0"/>
      <w:r w:rsidRPr="00DE1513">
        <w:rPr>
          <w:rStyle w:val="Siln"/>
        </w:rPr>
        <w:t>tronicky, osobně nebo přes datovou schránku</w:t>
      </w:r>
      <w:r w:rsidRPr="00DE1513">
        <w:t>.</w:t>
      </w:r>
    </w:p>
    <w:p w14:paraId="7E59B1BE" w14:textId="77777777" w:rsidR="00DE1513" w:rsidRPr="00DE1513" w:rsidRDefault="00DE1513" w:rsidP="00DE1513">
      <w:pPr>
        <w:pStyle w:val="Nadpis2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DE1513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JAK POSTUPOVAT PO OBDRŽENÍ ŽÁDOSTI</w:t>
      </w:r>
    </w:p>
    <w:p w14:paraId="5204BB10" w14:textId="77777777" w:rsidR="00DE1513" w:rsidRPr="00DE1513" w:rsidRDefault="00DE1513" w:rsidP="00DE1513">
      <w:pPr>
        <w:pStyle w:val="Normlnweb"/>
        <w:numPr>
          <w:ilvl w:val="0"/>
          <w:numId w:val="40"/>
        </w:numPr>
      </w:pPr>
      <w:r w:rsidRPr="00DE1513">
        <w:rPr>
          <w:rStyle w:val="Siln"/>
        </w:rPr>
        <w:t>EVIDUJTE ŽÁDOST</w:t>
      </w:r>
      <w:r w:rsidRPr="00DE1513">
        <w:t xml:space="preserve"> – datum, způsob přijetí, jméno žadatele (pokud je známo), obsah.</w:t>
      </w:r>
    </w:p>
    <w:p w14:paraId="1A89242A" w14:textId="77777777" w:rsidR="00DE1513" w:rsidRPr="00DE1513" w:rsidRDefault="00DE1513" w:rsidP="00DE1513">
      <w:pPr>
        <w:pStyle w:val="Normlnweb"/>
        <w:numPr>
          <w:ilvl w:val="0"/>
          <w:numId w:val="40"/>
        </w:numPr>
      </w:pPr>
      <w:r w:rsidRPr="00DE1513">
        <w:rPr>
          <w:rStyle w:val="Siln"/>
        </w:rPr>
        <w:t>POSUĎTE PŘÍPUSTNOST</w:t>
      </w:r>
      <w:r w:rsidRPr="00DE1513">
        <w:t xml:space="preserve"> – zhodnoťte, zda se jedná o poskytovatelnou informaci:</w:t>
      </w:r>
    </w:p>
    <w:p w14:paraId="1A3D2073" w14:textId="77777777" w:rsidR="00DE1513" w:rsidRPr="00DE1513" w:rsidRDefault="00DE1513" w:rsidP="00DE1513">
      <w:pPr>
        <w:pStyle w:val="Normlnweb"/>
        <w:numPr>
          <w:ilvl w:val="1"/>
          <w:numId w:val="40"/>
        </w:numPr>
      </w:pPr>
      <w:r w:rsidRPr="00DE1513">
        <w:t>pokud ANO → poskytněte informace do 15 dnů;</w:t>
      </w:r>
    </w:p>
    <w:p w14:paraId="3612904E" w14:textId="77777777" w:rsidR="00DE1513" w:rsidRPr="00DE1513" w:rsidRDefault="00DE1513" w:rsidP="00DE1513">
      <w:pPr>
        <w:pStyle w:val="Normlnweb"/>
        <w:numPr>
          <w:ilvl w:val="1"/>
          <w:numId w:val="40"/>
        </w:numPr>
      </w:pPr>
      <w:r w:rsidRPr="00DE1513">
        <w:t xml:space="preserve">pokud NE → rozhodněte o </w:t>
      </w:r>
      <w:r w:rsidRPr="00DE1513">
        <w:rPr>
          <w:rStyle w:val="Siln"/>
        </w:rPr>
        <w:t>odmítnutí žádosti</w:t>
      </w:r>
      <w:r w:rsidRPr="00DE1513">
        <w:t xml:space="preserve"> a poučte o právu podat odvolání.</w:t>
      </w:r>
    </w:p>
    <w:p w14:paraId="2C82CE61" w14:textId="2089A4BE" w:rsidR="00DE1513" w:rsidRPr="00DE1513" w:rsidRDefault="00DE1513" w:rsidP="00DE1513">
      <w:pPr>
        <w:pStyle w:val="Normlnweb"/>
        <w:numPr>
          <w:ilvl w:val="0"/>
          <w:numId w:val="40"/>
        </w:numPr>
      </w:pPr>
      <w:r w:rsidRPr="00DE1513">
        <w:rPr>
          <w:rStyle w:val="Siln"/>
        </w:rPr>
        <w:t>ZOHLEDNĚTE GDPR A ZÁKON O OCHRANĚ OSOBNÍCH ÚDAJŮ</w:t>
      </w:r>
      <w:r w:rsidRPr="00DE1513">
        <w:t xml:space="preserve"> – </w:t>
      </w:r>
      <w:r w:rsidRPr="00DE1513">
        <w:rPr>
          <w:rStyle w:val="Siln"/>
        </w:rPr>
        <w:t>nesmíte poskytovat osobní údaje</w:t>
      </w:r>
      <w:r w:rsidRPr="00DE1513">
        <w:t>, pokud není dán právní důvod a není veřejný zájem.</w:t>
      </w:r>
    </w:p>
    <w:p w14:paraId="313432B6" w14:textId="77777777" w:rsidR="00DE1513" w:rsidRPr="00DE1513" w:rsidRDefault="00DE1513" w:rsidP="00DE1513">
      <w:pPr>
        <w:pStyle w:val="Nadpis2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DE1513">
        <w:rPr>
          <w:rStyle w:val="Siln"/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KDY INFORMACI NEPOSKYTNOUT? – VÝJIMKY DLE INFZ A GDPR</w:t>
      </w:r>
    </w:p>
    <w:p w14:paraId="3A8A3C6F" w14:textId="77777777" w:rsidR="00DE1513" w:rsidRPr="00DE1513" w:rsidRDefault="00DE1513" w:rsidP="00DE1513">
      <w:pPr>
        <w:pStyle w:val="Normlnweb"/>
      </w:pPr>
      <w:r w:rsidRPr="00DE1513">
        <w:t>Informace nelze poskytnout, pokud:</w:t>
      </w:r>
    </w:p>
    <w:p w14:paraId="643D3504" w14:textId="77777777" w:rsidR="00DE1513" w:rsidRPr="00DE1513" w:rsidRDefault="00DE1513" w:rsidP="00DE1513">
      <w:pPr>
        <w:pStyle w:val="Normlnweb"/>
        <w:numPr>
          <w:ilvl w:val="0"/>
          <w:numId w:val="41"/>
        </w:numPr>
      </w:pPr>
      <w:r w:rsidRPr="00DE1513">
        <w:t xml:space="preserve">obsahují </w:t>
      </w:r>
      <w:r w:rsidRPr="00DE1513">
        <w:rPr>
          <w:rStyle w:val="Siln"/>
        </w:rPr>
        <w:t>osobní údaje</w:t>
      </w:r>
      <w:r w:rsidRPr="00DE1513">
        <w:t>, které nelze zveřejnit (např. jméno žáka, hodnocení zaměstnance, rodné číslo),</w:t>
      </w:r>
    </w:p>
    <w:p w14:paraId="1B27D5F0" w14:textId="77777777" w:rsidR="00DE1513" w:rsidRPr="00DE1513" w:rsidRDefault="00DE1513" w:rsidP="00DE1513">
      <w:pPr>
        <w:pStyle w:val="Normlnweb"/>
        <w:numPr>
          <w:ilvl w:val="0"/>
          <w:numId w:val="41"/>
        </w:numPr>
      </w:pPr>
      <w:r w:rsidRPr="00DE1513">
        <w:t xml:space="preserve">jde o </w:t>
      </w:r>
      <w:r w:rsidRPr="00DE1513">
        <w:rPr>
          <w:rStyle w:val="Siln"/>
        </w:rPr>
        <w:t>chráněné obchodní tajemství</w:t>
      </w:r>
      <w:r w:rsidRPr="00DE1513">
        <w:t xml:space="preserve"> nebo neveřejné know-how,</w:t>
      </w:r>
    </w:p>
    <w:p w14:paraId="624718D9" w14:textId="77777777" w:rsidR="00DE1513" w:rsidRPr="00DE1513" w:rsidRDefault="00DE1513" w:rsidP="00DE1513">
      <w:pPr>
        <w:pStyle w:val="Normlnweb"/>
        <w:numPr>
          <w:ilvl w:val="0"/>
          <w:numId w:val="41"/>
        </w:numPr>
      </w:pPr>
      <w:r w:rsidRPr="00DE1513">
        <w:t xml:space="preserve">zveřejnění by porušilo </w:t>
      </w:r>
      <w:r w:rsidRPr="00DE1513">
        <w:rPr>
          <w:rStyle w:val="Siln"/>
        </w:rPr>
        <w:t>autorské právo</w:t>
      </w:r>
      <w:r w:rsidRPr="00DE1513">
        <w:t>,</w:t>
      </w:r>
    </w:p>
    <w:p w14:paraId="5C9133AB" w14:textId="77777777" w:rsidR="00DE1513" w:rsidRPr="00DE1513" w:rsidRDefault="00DE1513" w:rsidP="00DE1513">
      <w:pPr>
        <w:pStyle w:val="Normlnweb"/>
        <w:numPr>
          <w:ilvl w:val="0"/>
          <w:numId w:val="41"/>
        </w:numPr>
      </w:pPr>
      <w:r w:rsidRPr="00DE1513">
        <w:t>jde o vnitřní pokyny, neveřejné dokumenty nebo interní komunikaci bez vlivu na veřejnost.</w:t>
      </w:r>
    </w:p>
    <w:p w14:paraId="4978041B" w14:textId="77777777" w:rsidR="00DE1513" w:rsidRPr="00DE1513" w:rsidRDefault="00DE1513" w:rsidP="00DE1513">
      <w:pPr>
        <w:pStyle w:val="Normlnweb"/>
      </w:pPr>
      <w:r w:rsidRPr="00DE1513">
        <w:t xml:space="preserve">Při pochybnostech vždy doporučuji použít tzv. </w:t>
      </w:r>
      <w:r w:rsidRPr="00DE1513">
        <w:rPr>
          <w:rStyle w:val="Siln"/>
        </w:rPr>
        <w:t>test veřejného zájmu</w:t>
      </w:r>
      <w:r w:rsidRPr="00DE1513">
        <w:t xml:space="preserve"> – zda převažuje zájem na transparentnosti nad ochranou soukromí.</w:t>
      </w:r>
    </w:p>
    <w:p w14:paraId="4F353BE4" w14:textId="77777777" w:rsidR="00D23F6E" w:rsidRPr="00DE1513" w:rsidRDefault="00D23F6E" w:rsidP="005F5A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3F6E" w:rsidRPr="00DE1513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2B8F9" w14:textId="77777777" w:rsidR="0036688F" w:rsidRDefault="0036688F" w:rsidP="000657C9">
      <w:pPr>
        <w:spacing w:after="0" w:line="240" w:lineRule="auto"/>
      </w:pPr>
      <w:r>
        <w:separator/>
      </w:r>
    </w:p>
  </w:endnote>
  <w:endnote w:type="continuationSeparator" w:id="0">
    <w:p w14:paraId="72E5C7DA" w14:textId="77777777" w:rsidR="0036688F" w:rsidRDefault="0036688F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EndPr/>
    <w:sdtContent>
      <w:p w14:paraId="45F00048" w14:textId="77777777" w:rsidR="00306858" w:rsidRPr="00306858" w:rsidRDefault="00306858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B37EE9" w:rsidRDefault="00306858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460642DD" w:rsidR="00306858" w:rsidRDefault="0030685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82C62" w:rsidRPr="00F82C62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460642DD" w:rsidR="00306858" w:rsidRDefault="0030685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82C62" w:rsidRPr="00F82C62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B4E85" w14:textId="77777777" w:rsidR="0036688F" w:rsidRDefault="0036688F" w:rsidP="000657C9">
      <w:pPr>
        <w:spacing w:after="0" w:line="240" w:lineRule="auto"/>
      </w:pPr>
      <w:r>
        <w:separator/>
      </w:r>
    </w:p>
  </w:footnote>
  <w:footnote w:type="continuationSeparator" w:id="0">
    <w:p w14:paraId="46E78CA6" w14:textId="77777777" w:rsidR="0036688F" w:rsidRDefault="0036688F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0657C9" w:rsidRDefault="004B1E10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7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0577A"/>
    <w:multiLevelType w:val="hybridMultilevel"/>
    <w:tmpl w:val="7D92D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81009"/>
    <w:multiLevelType w:val="multilevel"/>
    <w:tmpl w:val="BBE8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C61CF8"/>
    <w:multiLevelType w:val="hybridMultilevel"/>
    <w:tmpl w:val="86B2BD54"/>
    <w:lvl w:ilvl="0" w:tplc="A914DB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C5151"/>
    <w:multiLevelType w:val="multilevel"/>
    <w:tmpl w:val="93E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62122F"/>
    <w:multiLevelType w:val="multilevel"/>
    <w:tmpl w:val="AB7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E522EC"/>
    <w:multiLevelType w:val="multilevel"/>
    <w:tmpl w:val="C2D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F21D3F"/>
    <w:multiLevelType w:val="hybridMultilevel"/>
    <w:tmpl w:val="73D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77456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40210"/>
    <w:multiLevelType w:val="multilevel"/>
    <w:tmpl w:val="B100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62E72"/>
    <w:multiLevelType w:val="hybridMultilevel"/>
    <w:tmpl w:val="4F40A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513CF4"/>
    <w:multiLevelType w:val="multilevel"/>
    <w:tmpl w:val="245C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A24A92"/>
    <w:multiLevelType w:val="hybridMultilevel"/>
    <w:tmpl w:val="22206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B2D91"/>
    <w:multiLevelType w:val="multilevel"/>
    <w:tmpl w:val="B02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623E8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601"/>
    <w:multiLevelType w:val="multilevel"/>
    <w:tmpl w:val="1C44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89308E"/>
    <w:multiLevelType w:val="hybridMultilevel"/>
    <w:tmpl w:val="7A601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47718"/>
    <w:multiLevelType w:val="multilevel"/>
    <w:tmpl w:val="632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5458C"/>
    <w:multiLevelType w:val="multilevel"/>
    <w:tmpl w:val="A186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2E1571"/>
    <w:multiLevelType w:val="multilevel"/>
    <w:tmpl w:val="8726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E6333"/>
    <w:multiLevelType w:val="multilevel"/>
    <w:tmpl w:val="E1F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03E8C"/>
    <w:multiLevelType w:val="multilevel"/>
    <w:tmpl w:val="8D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A6650"/>
    <w:multiLevelType w:val="hybridMultilevel"/>
    <w:tmpl w:val="9352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978BD"/>
    <w:multiLevelType w:val="hybridMultilevel"/>
    <w:tmpl w:val="95AE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1095B"/>
    <w:multiLevelType w:val="multilevel"/>
    <w:tmpl w:val="21D8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334EB"/>
    <w:multiLevelType w:val="multilevel"/>
    <w:tmpl w:val="C1C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42696"/>
    <w:multiLevelType w:val="multilevel"/>
    <w:tmpl w:val="FBAC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671855"/>
    <w:multiLevelType w:val="multilevel"/>
    <w:tmpl w:val="7270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D475B5"/>
    <w:multiLevelType w:val="multilevel"/>
    <w:tmpl w:val="E8D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E46609"/>
    <w:multiLevelType w:val="hybridMultilevel"/>
    <w:tmpl w:val="539E6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30186"/>
    <w:multiLevelType w:val="hybridMultilevel"/>
    <w:tmpl w:val="02BEA68C"/>
    <w:lvl w:ilvl="0" w:tplc="E9D08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9276F"/>
    <w:multiLevelType w:val="multilevel"/>
    <w:tmpl w:val="F1B8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2161A2"/>
    <w:multiLevelType w:val="multilevel"/>
    <w:tmpl w:val="882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</w:num>
  <w:num w:numId="12">
    <w:abstractNumId w:val="16"/>
  </w:num>
  <w:num w:numId="13">
    <w:abstractNumId w:val="9"/>
  </w:num>
  <w:num w:numId="14">
    <w:abstractNumId w:val="22"/>
  </w:num>
  <w:num w:numId="15">
    <w:abstractNumId w:val="20"/>
  </w:num>
  <w:num w:numId="16">
    <w:abstractNumId w:val="15"/>
  </w:num>
  <w:num w:numId="17">
    <w:abstractNumId w:val="31"/>
  </w:num>
  <w:num w:numId="18">
    <w:abstractNumId w:val="11"/>
  </w:num>
  <w:num w:numId="19">
    <w:abstractNumId w:val="38"/>
  </w:num>
  <w:num w:numId="20">
    <w:abstractNumId w:val="18"/>
  </w:num>
  <w:num w:numId="21">
    <w:abstractNumId w:val="24"/>
  </w:num>
  <w:num w:numId="22">
    <w:abstractNumId w:val="33"/>
  </w:num>
  <w:num w:numId="23">
    <w:abstractNumId w:val="12"/>
  </w:num>
  <w:num w:numId="24">
    <w:abstractNumId w:val="21"/>
  </w:num>
  <w:num w:numId="25">
    <w:abstractNumId w:val="28"/>
  </w:num>
  <w:num w:numId="26">
    <w:abstractNumId w:val="29"/>
  </w:num>
  <w:num w:numId="27">
    <w:abstractNumId w:val="36"/>
  </w:num>
  <w:num w:numId="28">
    <w:abstractNumId w:val="13"/>
  </w:num>
  <w:num w:numId="29">
    <w:abstractNumId w:val="25"/>
  </w:num>
  <w:num w:numId="30">
    <w:abstractNumId w:val="23"/>
  </w:num>
  <w:num w:numId="31">
    <w:abstractNumId w:val="34"/>
  </w:num>
  <w:num w:numId="32">
    <w:abstractNumId w:val="35"/>
  </w:num>
  <w:num w:numId="33">
    <w:abstractNumId w:val="10"/>
  </w:num>
  <w:num w:numId="34">
    <w:abstractNumId w:val="32"/>
  </w:num>
  <w:num w:numId="35">
    <w:abstractNumId w:val="27"/>
  </w:num>
  <w:num w:numId="36">
    <w:abstractNumId w:val="14"/>
  </w:num>
  <w:num w:numId="37">
    <w:abstractNumId w:val="40"/>
  </w:num>
  <w:num w:numId="38">
    <w:abstractNumId w:val="26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36688F"/>
    <w:rsid w:val="00416930"/>
    <w:rsid w:val="00453E01"/>
    <w:rsid w:val="004B1E10"/>
    <w:rsid w:val="004F2542"/>
    <w:rsid w:val="00551552"/>
    <w:rsid w:val="005F5AE2"/>
    <w:rsid w:val="006A3467"/>
    <w:rsid w:val="00724E67"/>
    <w:rsid w:val="00734924"/>
    <w:rsid w:val="007543CF"/>
    <w:rsid w:val="00791535"/>
    <w:rsid w:val="007A630F"/>
    <w:rsid w:val="00966CB9"/>
    <w:rsid w:val="00AA1D8D"/>
    <w:rsid w:val="00B37EE9"/>
    <w:rsid w:val="00B47730"/>
    <w:rsid w:val="00BB361D"/>
    <w:rsid w:val="00CB0664"/>
    <w:rsid w:val="00D23F6E"/>
    <w:rsid w:val="00D86187"/>
    <w:rsid w:val="00D87090"/>
    <w:rsid w:val="00DE1513"/>
    <w:rsid w:val="00DE2F69"/>
    <w:rsid w:val="00E62854"/>
    <w:rsid w:val="00EA40C9"/>
    <w:rsid w:val="00EC7E95"/>
    <w:rsid w:val="00EF073C"/>
    <w:rsid w:val="00F668B7"/>
    <w:rsid w:val="00F77BF6"/>
    <w:rsid w:val="00F82C62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07EAB9-5BD5-4C1E-AEBC-0CFDFA12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3</cp:revision>
  <dcterms:created xsi:type="dcterms:W3CDTF">2025-06-02T14:34:00Z</dcterms:created>
  <dcterms:modified xsi:type="dcterms:W3CDTF">2025-06-02T14:35:00Z</dcterms:modified>
  <cp:category/>
</cp:coreProperties>
</file>