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A17181" w14:textId="3CBABE14" w:rsidR="00EA40C9" w:rsidRPr="00EA40C9" w:rsidRDefault="00EA40C9" w:rsidP="00EA40C9">
      <w:pPr>
        <w:pStyle w:val="Nadpis2"/>
        <w:jc w:val="center"/>
        <w:rPr>
          <w:rFonts w:ascii="Times New Roman" w:hAnsi="Times New Roman"/>
          <w:color w:val="984806" w:themeColor="accent6" w:themeShade="80"/>
        </w:rPr>
      </w:pPr>
      <w:r w:rsidRPr="00EA40C9">
        <w:rPr>
          <w:rStyle w:val="Siln"/>
          <w:b/>
          <w:bCs/>
          <w:color w:val="984806" w:themeColor="accent6" w:themeShade="80"/>
        </w:rPr>
        <w:t>VYJÁDŘENÍ POVĚŘENCE: PRÁVO ZAMĚSTNANCE NA PŘÍSTUP K OSOBNÍM ÚDAJŮM</w:t>
      </w:r>
    </w:p>
    <w:p w14:paraId="688C3A20" w14:textId="77777777" w:rsidR="00EA40C9" w:rsidRDefault="00EA40C9" w:rsidP="00EA40C9">
      <w:pPr>
        <w:pStyle w:val="Normlnweb"/>
        <w:jc w:val="both"/>
      </w:pPr>
      <w:r>
        <w:t xml:space="preserve">Zpracování osobních údajů zaměstnanců je každodenní praxí v každé škole či veřejné instituci. Přesto je důležité si připomínat, že zaměstnanci mají jasně definované </w:t>
      </w:r>
      <w:r>
        <w:rPr>
          <w:rStyle w:val="Siln"/>
        </w:rPr>
        <w:t>právo na přístup ke svým osobním údajům</w:t>
      </w:r>
      <w:r>
        <w:t>. Jako pověřenec považuji za důležité shrnout základní pravidla a doporučení, jak na takovou žádost správně reagovat.</w:t>
      </w:r>
    </w:p>
    <w:p w14:paraId="669EDCC7" w14:textId="77777777" w:rsidR="00EA40C9" w:rsidRDefault="00EA40C9" w:rsidP="00EA40C9">
      <w:r>
        <w:pict w14:anchorId="7859F680">
          <v:rect id="_x0000_i1031" style="width:0;height:1.5pt" o:hralign="center" o:hrstd="t" o:hr="t" fillcolor="#a0a0a0" stroked="f"/>
        </w:pict>
      </w:r>
    </w:p>
    <w:p w14:paraId="7788A17F" w14:textId="77777777" w:rsidR="00EA40C9" w:rsidRPr="00EA40C9" w:rsidRDefault="00EA40C9" w:rsidP="00EA40C9">
      <w:pPr>
        <w:pStyle w:val="Nadpis2"/>
        <w:rPr>
          <w:color w:val="984806" w:themeColor="accent6" w:themeShade="80"/>
        </w:rPr>
      </w:pPr>
      <w:r w:rsidRPr="00EA40C9">
        <w:rPr>
          <w:rStyle w:val="Siln"/>
          <w:b/>
          <w:bCs/>
          <w:color w:val="984806" w:themeColor="accent6" w:themeShade="80"/>
        </w:rPr>
        <w:t>ZAMĚSTNANEC MÁ PRÁVO VĚDĚT, CO SE O NĚM EVIDUJE</w:t>
      </w:r>
    </w:p>
    <w:p w14:paraId="4FA871DB" w14:textId="77777777" w:rsidR="00EA40C9" w:rsidRDefault="00EA40C9" w:rsidP="00EA40C9">
      <w:pPr>
        <w:pStyle w:val="Normlnweb"/>
      </w:pPr>
      <w:r>
        <w:t xml:space="preserve">Každý zaměstnanec má podle </w:t>
      </w:r>
      <w:r>
        <w:rPr>
          <w:rStyle w:val="Siln"/>
        </w:rPr>
        <w:t>čl. 15 GDPR</w:t>
      </w:r>
      <w:r>
        <w:t xml:space="preserve"> právo získat od zaměstnavatele:</w:t>
      </w:r>
    </w:p>
    <w:p w14:paraId="0C24CDFB" w14:textId="77777777" w:rsidR="00EA40C9" w:rsidRDefault="00EA40C9" w:rsidP="00EA40C9">
      <w:pPr>
        <w:pStyle w:val="Normlnweb"/>
        <w:numPr>
          <w:ilvl w:val="0"/>
          <w:numId w:val="31"/>
        </w:numPr>
      </w:pPr>
      <w:r>
        <w:t>potvrzení, zda jsou jeho údaje zpracovávány,</w:t>
      </w:r>
    </w:p>
    <w:p w14:paraId="7AFECD7A" w14:textId="77777777" w:rsidR="00EA40C9" w:rsidRDefault="00EA40C9" w:rsidP="00EA40C9">
      <w:pPr>
        <w:pStyle w:val="Normlnweb"/>
        <w:numPr>
          <w:ilvl w:val="0"/>
          <w:numId w:val="31"/>
        </w:numPr>
      </w:pPr>
      <w:r>
        <w:t>přístup ke konkrétním údajům, které se ho týkají,</w:t>
      </w:r>
    </w:p>
    <w:p w14:paraId="1C1DC379" w14:textId="77777777" w:rsidR="00EA40C9" w:rsidRDefault="00EA40C9" w:rsidP="00EA40C9">
      <w:pPr>
        <w:pStyle w:val="Normlnweb"/>
        <w:numPr>
          <w:ilvl w:val="0"/>
          <w:numId w:val="31"/>
        </w:numPr>
      </w:pPr>
      <w:r>
        <w:t>informace o účelu zpracování, příjemcích, době uchování, právech, případně o tom, odkud údaje pocházejí.</w:t>
      </w:r>
    </w:p>
    <w:p w14:paraId="3CE0C011" w14:textId="77777777" w:rsidR="00EA40C9" w:rsidRDefault="00EA40C9" w:rsidP="00EA40C9">
      <w:pPr>
        <w:pStyle w:val="Normlnweb"/>
        <w:jc w:val="both"/>
      </w:pPr>
      <w:r>
        <w:t xml:space="preserve">Toto právo je důležité pro </w:t>
      </w:r>
      <w:r>
        <w:rPr>
          <w:rStyle w:val="Siln"/>
        </w:rPr>
        <w:t>ověření zákonnosti zpracování a uplatnění dalších práv</w:t>
      </w:r>
      <w:r>
        <w:t xml:space="preserve"> (např. opravy, výmazu, námitky). Pokud nejde o zjevně nepřiměřenou žádost, zaměstnavatel je povinen odpovědět </w:t>
      </w:r>
      <w:r>
        <w:rPr>
          <w:rStyle w:val="Siln"/>
        </w:rPr>
        <w:t>do 1 měsíce</w:t>
      </w:r>
      <w:r>
        <w:t>.</w:t>
      </w:r>
    </w:p>
    <w:p w14:paraId="15350E1E" w14:textId="77777777" w:rsidR="00EA40C9" w:rsidRDefault="00EA40C9" w:rsidP="00EA40C9">
      <w:r>
        <w:pict w14:anchorId="2E5279AC">
          <v:rect id="_x0000_i1032" style="width:0;height:1.5pt" o:hralign="center" o:hrstd="t" o:hr="t" fillcolor="#a0a0a0" stroked="f"/>
        </w:pict>
      </w:r>
    </w:p>
    <w:p w14:paraId="2F6B4262" w14:textId="77777777" w:rsidR="00EA40C9" w:rsidRPr="00EA40C9" w:rsidRDefault="00EA40C9" w:rsidP="00EA40C9">
      <w:pPr>
        <w:pStyle w:val="Nadpis2"/>
        <w:rPr>
          <w:color w:val="984806" w:themeColor="accent6" w:themeShade="80"/>
        </w:rPr>
      </w:pPr>
      <w:r w:rsidRPr="00EA40C9">
        <w:rPr>
          <w:rStyle w:val="Siln"/>
          <w:b/>
          <w:bCs/>
          <w:color w:val="984806" w:themeColor="accent6" w:themeShade="80"/>
        </w:rPr>
        <w:t>CO ZNAMENÁ POSKYTNOUT KOPII ÚDAJŮ?</w:t>
      </w:r>
    </w:p>
    <w:p w14:paraId="40DE66E5" w14:textId="77777777" w:rsidR="00EA40C9" w:rsidRDefault="00EA40C9" w:rsidP="00EA40C9">
      <w:pPr>
        <w:pStyle w:val="Normlnweb"/>
        <w:jc w:val="both"/>
      </w:pPr>
      <w:r>
        <w:t xml:space="preserve">Kopie podle GDPR není jen obecný popis kategorií údajů – ale </w:t>
      </w:r>
      <w:r>
        <w:rPr>
          <w:rStyle w:val="Siln"/>
        </w:rPr>
        <w:t>věrná reprodukce konkrétních údajů</w:t>
      </w:r>
      <w:r>
        <w:t>, které o zaměstnanci existují. To může znamenat i výpisy z dokumentů nebo databází, pokud je to nutné pro pochopení kontextu.</w:t>
      </w:r>
    </w:p>
    <w:p w14:paraId="2F1E28FF" w14:textId="77777777" w:rsidR="00EA40C9" w:rsidRDefault="00EA40C9" w:rsidP="00EA40C9">
      <w:pPr>
        <w:pStyle w:val="Normlnweb"/>
        <w:jc w:val="both"/>
      </w:pPr>
      <w:r>
        <w:t xml:space="preserve">Zaměstnanec má právo požádat o </w:t>
      </w:r>
      <w:r>
        <w:rPr>
          <w:rStyle w:val="Siln"/>
        </w:rPr>
        <w:t>první kopii zdarma</w:t>
      </w:r>
      <w:r>
        <w:t xml:space="preserve">. Důležité je také zajistit, aby informace byly </w:t>
      </w:r>
      <w:r>
        <w:rPr>
          <w:rStyle w:val="Siln"/>
        </w:rPr>
        <w:t>srozumitelné</w:t>
      </w:r>
      <w:r>
        <w:t>, jak vyžaduje čl. 12 odst. 1 GDPR.</w:t>
      </w:r>
    </w:p>
    <w:p w14:paraId="33179541" w14:textId="77777777" w:rsidR="00EA40C9" w:rsidRDefault="00EA40C9" w:rsidP="00EA40C9">
      <w:r>
        <w:pict w14:anchorId="2D1287FD">
          <v:rect id="_x0000_i1033" style="width:0;height:1.5pt" o:hralign="center" o:hrstd="t" o:hr="t" fillcolor="#a0a0a0" stroked="f"/>
        </w:pict>
      </w:r>
    </w:p>
    <w:p w14:paraId="2AC5B78E" w14:textId="77777777" w:rsidR="00EA40C9" w:rsidRPr="00EA40C9" w:rsidRDefault="00EA40C9" w:rsidP="00EA40C9">
      <w:pPr>
        <w:pStyle w:val="Nadpis2"/>
        <w:rPr>
          <w:color w:val="984806" w:themeColor="accent6" w:themeShade="80"/>
        </w:rPr>
      </w:pPr>
      <w:r w:rsidRPr="00EA40C9">
        <w:rPr>
          <w:rStyle w:val="Siln"/>
          <w:b/>
          <w:bCs/>
          <w:color w:val="984806" w:themeColor="accent6" w:themeShade="80"/>
        </w:rPr>
        <w:t>PRÁVA DLE ZÁKONÍKU PRÁCE NEJSOU KONKURENCÍ GDPR</w:t>
      </w:r>
    </w:p>
    <w:p w14:paraId="7E1F8D5C" w14:textId="77777777" w:rsidR="00EA40C9" w:rsidRDefault="00EA40C9" w:rsidP="00EA40C9">
      <w:pPr>
        <w:pStyle w:val="Normlnweb"/>
        <w:jc w:val="both"/>
      </w:pPr>
      <w:r>
        <w:t xml:space="preserve">Vedle GDPR obsahuje právo na přístup i </w:t>
      </w:r>
      <w:r>
        <w:rPr>
          <w:rStyle w:val="Siln"/>
        </w:rPr>
        <w:t>zákoník práce</w:t>
      </w:r>
      <w:r>
        <w:t>, například:</w:t>
      </w:r>
    </w:p>
    <w:p w14:paraId="1B7F0D44" w14:textId="77777777" w:rsidR="00EA40C9" w:rsidRDefault="00EA40C9" w:rsidP="00EA40C9">
      <w:pPr>
        <w:pStyle w:val="Normlnweb"/>
        <w:numPr>
          <w:ilvl w:val="0"/>
          <w:numId w:val="32"/>
        </w:numPr>
        <w:jc w:val="both"/>
      </w:pPr>
      <w:r>
        <w:t>§ 312 odst. 3 – přístup do osobního spisu,</w:t>
      </w:r>
    </w:p>
    <w:p w14:paraId="742CB381" w14:textId="77777777" w:rsidR="00EA40C9" w:rsidRDefault="00EA40C9" w:rsidP="00EA40C9">
      <w:pPr>
        <w:pStyle w:val="Normlnweb"/>
        <w:numPr>
          <w:ilvl w:val="0"/>
          <w:numId w:val="32"/>
        </w:numPr>
        <w:jc w:val="both"/>
      </w:pPr>
      <w:r>
        <w:t>§ 96 odst. 2 – nahlížení do evidence pracovní doby a mzdy,</w:t>
      </w:r>
    </w:p>
    <w:p w14:paraId="71EF58D7" w14:textId="77777777" w:rsidR="00EA40C9" w:rsidRDefault="00EA40C9" w:rsidP="00EA40C9">
      <w:pPr>
        <w:pStyle w:val="Normlnweb"/>
        <w:numPr>
          <w:ilvl w:val="0"/>
          <w:numId w:val="32"/>
        </w:numPr>
        <w:jc w:val="both"/>
      </w:pPr>
      <w:r>
        <w:t>§ 103 odst. 1 písm. i) – přístup k údajům z oblasti BOZP.</w:t>
      </w:r>
    </w:p>
    <w:p w14:paraId="06302F6A" w14:textId="77777777" w:rsidR="00EA40C9" w:rsidRDefault="00EA40C9" w:rsidP="00EA40C9">
      <w:pPr>
        <w:pStyle w:val="Normlnweb"/>
        <w:jc w:val="both"/>
      </w:pPr>
      <w:r>
        <w:lastRenderedPageBreak/>
        <w:t xml:space="preserve">Tyto nástroje se doplňují s GDPR a zaměstnanec si může zvolit, </w:t>
      </w:r>
      <w:r>
        <w:rPr>
          <w:rStyle w:val="Siln"/>
        </w:rPr>
        <w:t>jakou cestou svá práva uplatní</w:t>
      </w:r>
      <w:r>
        <w:t xml:space="preserve"> – buď podle GDPR, nebo podle pracovního práva. GDPR je univerzálnější, ale zákoník práce umožňuje přístup k originálním dokumentům.</w:t>
      </w:r>
    </w:p>
    <w:p w14:paraId="01979A01" w14:textId="77777777" w:rsidR="00EA40C9" w:rsidRDefault="00EA40C9" w:rsidP="00EA40C9">
      <w:r>
        <w:pict w14:anchorId="3AF7B9D8">
          <v:rect id="_x0000_i1034" style="width:0;height:1.5pt" o:hralign="center" o:hrstd="t" o:hr="t" fillcolor="#a0a0a0" stroked="f"/>
        </w:pict>
      </w:r>
    </w:p>
    <w:p w14:paraId="2FFBB716" w14:textId="77777777" w:rsidR="00EA40C9" w:rsidRPr="00EA40C9" w:rsidRDefault="00EA40C9" w:rsidP="00EA40C9">
      <w:pPr>
        <w:pStyle w:val="Nadpis2"/>
        <w:rPr>
          <w:color w:val="984806" w:themeColor="accent6" w:themeShade="80"/>
        </w:rPr>
      </w:pPr>
      <w:r w:rsidRPr="00EA40C9">
        <w:rPr>
          <w:rStyle w:val="Siln"/>
          <w:b/>
          <w:bCs/>
          <w:color w:val="984806" w:themeColor="accent6" w:themeShade="80"/>
        </w:rPr>
        <w:t>JAK SPRÁVNĚ REAGOVAT NA ŽÁDOST?</w:t>
      </w:r>
    </w:p>
    <w:p w14:paraId="66AB8C9A" w14:textId="77777777" w:rsidR="00EA40C9" w:rsidRDefault="00EA40C9" w:rsidP="00EA40C9">
      <w:pPr>
        <w:pStyle w:val="Normlnweb"/>
      </w:pPr>
      <w:r>
        <w:t>Zaměstnavatel (správce) by měl:</w:t>
      </w:r>
    </w:p>
    <w:p w14:paraId="5E3DCB78" w14:textId="77777777" w:rsidR="00EA40C9" w:rsidRDefault="00EA40C9" w:rsidP="00EA40C9">
      <w:pPr>
        <w:pStyle w:val="Normlnweb"/>
        <w:numPr>
          <w:ilvl w:val="0"/>
          <w:numId w:val="33"/>
        </w:numPr>
      </w:pPr>
      <w:r>
        <w:rPr>
          <w:rStyle w:val="Siln"/>
        </w:rPr>
        <w:t>Identifikovat žadatele a žádost zdokumentovat</w:t>
      </w:r>
      <w:r>
        <w:t>.</w:t>
      </w:r>
    </w:p>
    <w:p w14:paraId="03B3A2C0" w14:textId="77777777" w:rsidR="00EA40C9" w:rsidRDefault="00EA40C9" w:rsidP="00EA40C9">
      <w:pPr>
        <w:pStyle w:val="Normlnweb"/>
        <w:numPr>
          <w:ilvl w:val="0"/>
          <w:numId w:val="33"/>
        </w:numPr>
      </w:pPr>
      <w:r>
        <w:rPr>
          <w:rStyle w:val="Siln"/>
        </w:rPr>
        <w:t>Zajistit přiměřenou ochranu ostatních údajů</w:t>
      </w:r>
      <w:r>
        <w:t xml:space="preserve"> (např. osob třetích stran).</w:t>
      </w:r>
    </w:p>
    <w:p w14:paraId="1D773F4C" w14:textId="77777777" w:rsidR="00EA40C9" w:rsidRDefault="00EA40C9" w:rsidP="00EA40C9">
      <w:pPr>
        <w:pStyle w:val="Normlnweb"/>
        <w:numPr>
          <w:ilvl w:val="0"/>
          <w:numId w:val="33"/>
        </w:numPr>
      </w:pPr>
      <w:r>
        <w:rPr>
          <w:rStyle w:val="Siln"/>
        </w:rPr>
        <w:t>Zpracovat žádost v předepsané lhůtě</w:t>
      </w:r>
      <w:r>
        <w:t>.</w:t>
      </w:r>
    </w:p>
    <w:p w14:paraId="02C40C26" w14:textId="77777777" w:rsidR="00EA40C9" w:rsidRDefault="00EA40C9" w:rsidP="00EA40C9">
      <w:pPr>
        <w:pStyle w:val="Normlnweb"/>
        <w:numPr>
          <w:ilvl w:val="0"/>
          <w:numId w:val="33"/>
        </w:numPr>
      </w:pPr>
      <w:r>
        <w:rPr>
          <w:rStyle w:val="Siln"/>
        </w:rPr>
        <w:t>Uchovávat záznam o vyřízení žádosti</w:t>
      </w:r>
      <w:r>
        <w:t xml:space="preserve"> po dobu obvyklé retenční lhůty (např. 4 roky kvůli promlčecím dobám).</w:t>
      </w:r>
    </w:p>
    <w:p w14:paraId="4F353BE4" w14:textId="77777777" w:rsidR="00D23F6E" w:rsidRPr="00D87090" w:rsidRDefault="00D23F6E" w:rsidP="00D87090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23F6E" w:rsidRPr="00D87090" w:rsidSect="00306858">
      <w:headerReference w:type="default" r:id="rId9"/>
      <w:footerReference w:type="default" r:id="rId10"/>
      <w:pgSz w:w="12240" w:h="15840"/>
      <w:pgMar w:top="1440" w:right="1797" w:bottom="1440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B857F4" w14:textId="77777777" w:rsidR="006B1FA7" w:rsidRDefault="006B1FA7" w:rsidP="000657C9">
      <w:pPr>
        <w:spacing w:after="0" w:line="240" w:lineRule="auto"/>
      </w:pPr>
      <w:r>
        <w:separator/>
      </w:r>
    </w:p>
  </w:endnote>
  <w:endnote w:type="continuationSeparator" w:id="0">
    <w:p w14:paraId="11BD1ABA" w14:textId="77777777" w:rsidR="006B1FA7" w:rsidRDefault="006B1FA7" w:rsidP="000657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83835707"/>
      <w:docPartObj>
        <w:docPartGallery w:val="Page Numbers (Bottom of Page)"/>
        <w:docPartUnique/>
      </w:docPartObj>
    </w:sdtPr>
    <w:sdtEndPr/>
    <w:sdtContent>
      <w:p w14:paraId="45F00048" w14:textId="77777777" w:rsidR="00306858" w:rsidRPr="00306858" w:rsidRDefault="00306858" w:rsidP="00306858">
        <w:pPr>
          <w:pStyle w:val="Zpat"/>
          <w:jc w:val="center"/>
        </w:pPr>
        <w:r>
          <w:rPr>
            <w:rStyle w:val="Zdraznn"/>
          </w:rPr>
          <w:t xml:space="preserve">Mgr. Jana Pavlovičová | +420 721 884 334 | Na Spálence 715/3, Ústí nad Labem| </w:t>
        </w:r>
        <w:r w:rsidRPr="00306858">
          <w:rPr>
            <w:b/>
          </w:rPr>
          <w:t>gdpr.pavlovic.cz</w:t>
        </w:r>
      </w:p>
      <w:p w14:paraId="23479829" w14:textId="77777777" w:rsidR="00B37EE9" w:rsidRDefault="00306858">
        <w:pPr>
          <w:pStyle w:val="Zpat"/>
        </w:pPr>
        <w:r>
          <w:rPr>
            <w:noProof/>
            <w:lang w:val="cs-CZ" w:eastAsia="cs-CZ"/>
          </w:rPr>
          <mc:AlternateContent>
            <mc:Choice Requires="wps">
              <w:drawing>
                <wp:anchor distT="0" distB="0" distL="114300" distR="114300" simplePos="0" relativeHeight="251672576" behindDoc="0" locked="0" layoutInCell="1" allowOverlap="1" wp14:anchorId="2A52C0DD" wp14:editId="43BDA3BE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8" name="Obdélník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3F9879" w14:textId="3848AA7E" w:rsidR="00306858" w:rsidRDefault="00306858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C0504D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EA40C9" w:rsidRPr="00EA40C9">
                                <w:rPr>
                                  <w:noProof/>
                                  <w:color w:val="C0504D" w:themeColor="accent2"/>
                                  <w:lang w:val="cs-CZ"/>
                                </w:rPr>
                                <w:t>1</w:t>
                              </w:r>
                              <w:r>
                                <w:rPr>
                                  <w:color w:val="C0504D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2A52C0DD" id="Obdélník 8" o:spid="_x0000_s1026" style="position:absolute;margin-left:0;margin-top:0;width:44.55pt;height:15.1pt;rotation:180;flip:x;z-index:251672576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" filled="f" fillcolor="#c0504d" stroked="f" strokecolor="#5c83b4" strokeweight="2.25pt">
                  <v:textbox inset=",0,,0">
                    <w:txbxContent>
                      <w:p w14:paraId="5D3F9879" w14:textId="3848AA7E" w:rsidR="00306858" w:rsidRDefault="00306858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C0504D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EA40C9" w:rsidRPr="00EA40C9">
                          <w:rPr>
                            <w:noProof/>
                            <w:color w:val="C0504D" w:themeColor="accent2"/>
                            <w:lang w:val="cs-CZ"/>
                          </w:rPr>
                          <w:t>1</w:t>
                        </w:r>
                        <w:r>
                          <w:rPr>
                            <w:color w:val="C0504D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62BA98" w14:textId="77777777" w:rsidR="006B1FA7" w:rsidRDefault="006B1FA7" w:rsidP="000657C9">
      <w:pPr>
        <w:spacing w:after="0" w:line="240" w:lineRule="auto"/>
      </w:pPr>
      <w:r>
        <w:separator/>
      </w:r>
    </w:p>
  </w:footnote>
  <w:footnote w:type="continuationSeparator" w:id="0">
    <w:p w14:paraId="4D3DC6DE" w14:textId="77777777" w:rsidR="006B1FA7" w:rsidRDefault="006B1FA7" w:rsidP="000657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C2C3C6" w14:textId="77777777" w:rsidR="000657C9" w:rsidRDefault="004B1E10">
    <w:pPr>
      <w:pStyle w:val="Zhlav"/>
    </w:pPr>
    <w:r w:rsidRPr="001F3134">
      <w:rPr>
        <w:noProof/>
        <w:lang w:val="cs-CZ" w:eastAsia="cs-CZ"/>
      </w:rPr>
      <w:drawing>
        <wp:anchor distT="0" distB="0" distL="114300" distR="114300" simplePos="0" relativeHeight="251670528" behindDoc="0" locked="0" layoutInCell="1" allowOverlap="1" wp14:anchorId="14C6278C" wp14:editId="10E7DE95">
          <wp:simplePos x="0" y="0"/>
          <wp:positionH relativeFrom="margin">
            <wp:posOffset>5227320</wp:posOffset>
          </wp:positionH>
          <wp:positionV relativeFrom="paragraph">
            <wp:posOffset>-457200</wp:posOffset>
          </wp:positionV>
          <wp:extent cx="1379220" cy="919480"/>
          <wp:effectExtent l="0" t="0" r="0" b="0"/>
          <wp:wrapTight wrapText="bothSides">
            <wp:wrapPolygon edited="0">
              <wp:start x="0" y="0"/>
              <wp:lineTo x="0" y="21033"/>
              <wp:lineTo x="21182" y="21033"/>
              <wp:lineTo x="21182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9220" cy="919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657C9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3E0577A"/>
    <w:multiLevelType w:val="hybridMultilevel"/>
    <w:tmpl w:val="7D92DA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981009"/>
    <w:multiLevelType w:val="multilevel"/>
    <w:tmpl w:val="BBE8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1C61CF8"/>
    <w:multiLevelType w:val="hybridMultilevel"/>
    <w:tmpl w:val="86B2BD54"/>
    <w:lvl w:ilvl="0" w:tplc="A914DB10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EC5151"/>
    <w:multiLevelType w:val="multilevel"/>
    <w:tmpl w:val="93E68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562122F"/>
    <w:multiLevelType w:val="multilevel"/>
    <w:tmpl w:val="AB78A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CF21D3F"/>
    <w:multiLevelType w:val="hybridMultilevel"/>
    <w:tmpl w:val="73D2B2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977456"/>
    <w:multiLevelType w:val="hybridMultilevel"/>
    <w:tmpl w:val="C45CA0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762E72"/>
    <w:multiLevelType w:val="hybridMultilevel"/>
    <w:tmpl w:val="4F40A26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DA24A92"/>
    <w:multiLevelType w:val="hybridMultilevel"/>
    <w:tmpl w:val="22206D2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3B2D91"/>
    <w:multiLevelType w:val="multilevel"/>
    <w:tmpl w:val="B02E6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48623E8"/>
    <w:multiLevelType w:val="hybridMultilevel"/>
    <w:tmpl w:val="C45CA0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2C6601"/>
    <w:multiLevelType w:val="multilevel"/>
    <w:tmpl w:val="1C44D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789308E"/>
    <w:multiLevelType w:val="hybridMultilevel"/>
    <w:tmpl w:val="7A601A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E47718"/>
    <w:multiLevelType w:val="multilevel"/>
    <w:tmpl w:val="63260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14E6333"/>
    <w:multiLevelType w:val="multilevel"/>
    <w:tmpl w:val="E1F07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4503E8C"/>
    <w:multiLevelType w:val="multilevel"/>
    <w:tmpl w:val="8DBA8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75A6650"/>
    <w:multiLevelType w:val="hybridMultilevel"/>
    <w:tmpl w:val="935225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F978BD"/>
    <w:multiLevelType w:val="hybridMultilevel"/>
    <w:tmpl w:val="95AEA2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A334EB"/>
    <w:multiLevelType w:val="multilevel"/>
    <w:tmpl w:val="C1CAE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6642696"/>
    <w:multiLevelType w:val="multilevel"/>
    <w:tmpl w:val="FBAC9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6671855"/>
    <w:multiLevelType w:val="multilevel"/>
    <w:tmpl w:val="7270C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6D475B5"/>
    <w:multiLevelType w:val="multilevel"/>
    <w:tmpl w:val="E8D6E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6E46609"/>
    <w:multiLevelType w:val="hybridMultilevel"/>
    <w:tmpl w:val="539E61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E30186"/>
    <w:multiLevelType w:val="hybridMultilevel"/>
    <w:tmpl w:val="02BEA68C"/>
    <w:lvl w:ilvl="0" w:tplc="E9D08CA4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25"/>
  </w:num>
  <w:num w:numId="11">
    <w:abstractNumId w:val="31"/>
  </w:num>
  <w:num w:numId="12">
    <w:abstractNumId w:val="15"/>
  </w:num>
  <w:num w:numId="13">
    <w:abstractNumId w:val="9"/>
  </w:num>
  <w:num w:numId="14">
    <w:abstractNumId w:val="19"/>
  </w:num>
  <w:num w:numId="15">
    <w:abstractNumId w:val="17"/>
  </w:num>
  <w:num w:numId="16">
    <w:abstractNumId w:val="14"/>
  </w:num>
  <w:num w:numId="17">
    <w:abstractNumId w:val="26"/>
  </w:num>
  <w:num w:numId="18">
    <w:abstractNumId w:val="11"/>
  </w:num>
  <w:num w:numId="19">
    <w:abstractNumId w:val="32"/>
  </w:num>
  <w:num w:numId="20">
    <w:abstractNumId w:val="16"/>
  </w:num>
  <w:num w:numId="21">
    <w:abstractNumId w:val="21"/>
  </w:num>
  <w:num w:numId="22">
    <w:abstractNumId w:val="27"/>
  </w:num>
  <w:num w:numId="23">
    <w:abstractNumId w:val="12"/>
  </w:num>
  <w:num w:numId="24">
    <w:abstractNumId w:val="18"/>
  </w:num>
  <w:num w:numId="25">
    <w:abstractNumId w:val="23"/>
  </w:num>
  <w:num w:numId="26">
    <w:abstractNumId w:val="24"/>
  </w:num>
  <w:num w:numId="27">
    <w:abstractNumId w:val="30"/>
  </w:num>
  <w:num w:numId="28">
    <w:abstractNumId w:val="13"/>
  </w:num>
  <w:num w:numId="29">
    <w:abstractNumId w:val="22"/>
  </w:num>
  <w:num w:numId="30">
    <w:abstractNumId w:val="20"/>
  </w:num>
  <w:num w:numId="31">
    <w:abstractNumId w:val="28"/>
  </w:num>
  <w:num w:numId="32">
    <w:abstractNumId w:val="29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0657C9"/>
    <w:rsid w:val="0015074B"/>
    <w:rsid w:val="001901B9"/>
    <w:rsid w:val="0020492F"/>
    <w:rsid w:val="0021716C"/>
    <w:rsid w:val="0027561D"/>
    <w:rsid w:val="0029639D"/>
    <w:rsid w:val="002F439D"/>
    <w:rsid w:val="00306858"/>
    <w:rsid w:val="00326F90"/>
    <w:rsid w:val="00416930"/>
    <w:rsid w:val="00453E01"/>
    <w:rsid w:val="004B1E10"/>
    <w:rsid w:val="004F2542"/>
    <w:rsid w:val="00551552"/>
    <w:rsid w:val="006A3467"/>
    <w:rsid w:val="006B1FA7"/>
    <w:rsid w:val="00724E67"/>
    <w:rsid w:val="00734924"/>
    <w:rsid w:val="007543CF"/>
    <w:rsid w:val="00791535"/>
    <w:rsid w:val="007A630F"/>
    <w:rsid w:val="00966CB9"/>
    <w:rsid w:val="00AA1D8D"/>
    <w:rsid w:val="00B37EE9"/>
    <w:rsid w:val="00B47730"/>
    <w:rsid w:val="00BB361D"/>
    <w:rsid w:val="00CB0664"/>
    <w:rsid w:val="00D23F6E"/>
    <w:rsid w:val="00D86187"/>
    <w:rsid w:val="00D87090"/>
    <w:rsid w:val="00DE2F69"/>
    <w:rsid w:val="00E62854"/>
    <w:rsid w:val="00EA40C9"/>
    <w:rsid w:val="00EC7E95"/>
    <w:rsid w:val="00EF073C"/>
    <w:rsid w:val="00F77BF6"/>
    <w:rsid w:val="00FC693F"/>
    <w:rsid w:val="00FE2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07495C"/>
  <w14:defaultImageDpi w14:val="300"/>
  <w15:docId w15:val="{521819C5-DE43-465A-8A10-DE9691A03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693F"/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efault">
    <w:name w:val="Default"/>
    <w:rsid w:val="00FE2BB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cs-CZ"/>
    </w:rPr>
  </w:style>
  <w:style w:type="character" w:styleId="Hypertextovodkaz">
    <w:name w:val="Hyperlink"/>
    <w:basedOn w:val="Standardnpsmoodstavce"/>
    <w:uiPriority w:val="99"/>
    <w:unhideWhenUsed/>
    <w:rsid w:val="00D23F6E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7915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15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1535"/>
    <w:rPr>
      <w:rFonts w:ascii="Calibri" w:hAnsi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15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91535"/>
    <w:rPr>
      <w:rFonts w:ascii="Calibri" w:hAnsi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1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1535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7543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7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ZÁSADY ZPRACOVÁNÍ OSOBNÍCH ÚDAJŮ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DEBC54C-3F5E-41B7-9A15-6444D41D3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311</Words>
  <Characters>1838</Characters>
  <Application>Microsoft Office Word</Application>
  <DocSecurity>0</DocSecurity>
  <Lines>15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2145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Jana Pavlovičová</cp:lastModifiedBy>
  <cp:revision>2</cp:revision>
  <dcterms:created xsi:type="dcterms:W3CDTF">2025-06-02T14:19:00Z</dcterms:created>
  <dcterms:modified xsi:type="dcterms:W3CDTF">2025-06-02T14:19:00Z</dcterms:modified>
  <cp:category/>
</cp:coreProperties>
</file>