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8AB6F" w14:textId="43F1678C" w:rsidR="00D87090" w:rsidRPr="00D87090" w:rsidRDefault="00D87090" w:rsidP="00D87090">
      <w:pPr>
        <w:pStyle w:val="Nadpis2"/>
        <w:jc w:val="center"/>
        <w:rPr>
          <w:rFonts w:ascii="Times New Roman" w:hAnsi="Times New Roman"/>
          <w:color w:val="984806" w:themeColor="accent6" w:themeShade="80"/>
          <w:u w:val="single"/>
        </w:rPr>
      </w:pPr>
      <w:r w:rsidRPr="00D87090">
        <w:rPr>
          <w:rStyle w:val="Siln"/>
          <w:b/>
          <w:bCs/>
          <w:color w:val="984806" w:themeColor="accent6" w:themeShade="80"/>
          <w:u w:val="single"/>
        </w:rPr>
        <w:t>VYJÁDŘENÍ POVĚŘENCE: PSEUDONYMIZACE OSOBNÍCH ÚDAJŮ – SILNÝ NÁSTROJ, NIKOLIV VÝMLUVA</w:t>
      </w:r>
    </w:p>
    <w:p w14:paraId="0F259A1E" w14:textId="77777777" w:rsidR="00D87090" w:rsidRPr="00D87090" w:rsidRDefault="00D87090" w:rsidP="00D87090">
      <w:pPr>
        <w:pStyle w:val="Normlnweb"/>
      </w:pPr>
      <w:r w:rsidRPr="00D87090">
        <w:t>Vážení kolegové,</w:t>
      </w:r>
      <w:r w:rsidRPr="00D87090">
        <w:br/>
        <w:t>v souvislosti s novými pokyny Evropského sboru pro ochranu osobních údajů (EDPB) k pseudonymizaci považuji za důležité upozornit na klíčové principy, které by měli znát správci i zpracovatelé osobních údajů – zejména v prostředí škol a veřejných institucí.</w:t>
      </w:r>
    </w:p>
    <w:p w14:paraId="30962DBE" w14:textId="7428E153" w:rsidR="00D87090" w:rsidRPr="00D87090" w:rsidRDefault="00D87090" w:rsidP="00D87090">
      <w:pPr>
        <w:pStyle w:val="Nadpis3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D8709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CO JE PSEUDONYMIZACE?</w:t>
      </w:r>
    </w:p>
    <w:p w14:paraId="0C659862" w14:textId="77777777" w:rsidR="00D87090" w:rsidRPr="00D87090" w:rsidRDefault="00D87090" w:rsidP="00D87090">
      <w:pPr>
        <w:pStyle w:val="Normlnweb"/>
        <w:jc w:val="both"/>
      </w:pPr>
      <w:r w:rsidRPr="00D87090">
        <w:t xml:space="preserve">Pseudonymizace je metoda, kdy se osobní údaje upraví tak, aby </w:t>
      </w:r>
      <w:r w:rsidRPr="00D87090">
        <w:rPr>
          <w:rStyle w:val="Siln"/>
        </w:rPr>
        <w:t>nebylo možné přiřadit je konkrétní osobě bez dodatečných informací</w:t>
      </w:r>
      <w:r w:rsidRPr="00D87090">
        <w:t xml:space="preserve">, které se uchovávají odděleně a jsou chráněny (např. kód namísto jména, oddělený seznam jmen). Důležité ale je, že pseudonymizace </w:t>
      </w:r>
      <w:r w:rsidRPr="00D87090">
        <w:rPr>
          <w:rStyle w:val="Siln"/>
        </w:rPr>
        <w:t>neruší status osobních údajů</w:t>
      </w:r>
      <w:r w:rsidRPr="00D87090">
        <w:t xml:space="preserve"> – stále se na ně plně vztahuje GDPR.</w:t>
      </w:r>
    </w:p>
    <w:p w14:paraId="3093B095" w14:textId="1EB5C200" w:rsidR="00D87090" w:rsidRPr="00D87090" w:rsidRDefault="00D87090" w:rsidP="00D87090">
      <w:pPr>
        <w:pStyle w:val="Nadpis3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D8709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K ČEMU SLOUŽÍ PSEUDONYMIZACE?</w:t>
      </w:r>
    </w:p>
    <w:p w14:paraId="2CEA1AD3" w14:textId="77777777" w:rsidR="00D87090" w:rsidRPr="00D87090" w:rsidRDefault="00D87090" w:rsidP="00D87090">
      <w:pPr>
        <w:pStyle w:val="Normlnweb"/>
        <w:numPr>
          <w:ilvl w:val="0"/>
          <w:numId w:val="28"/>
        </w:numPr>
        <w:jc w:val="both"/>
      </w:pPr>
      <w:r w:rsidRPr="00D87090">
        <w:rPr>
          <w:rStyle w:val="Siln"/>
        </w:rPr>
        <w:t>Snižuje riziko zneužití dat</w:t>
      </w:r>
      <w:r w:rsidRPr="00D87090">
        <w:t xml:space="preserve"> při přenosech a zpracování.</w:t>
      </w:r>
    </w:p>
    <w:p w14:paraId="2C13CA33" w14:textId="77777777" w:rsidR="00D87090" w:rsidRPr="00D87090" w:rsidRDefault="00D87090" w:rsidP="00D87090">
      <w:pPr>
        <w:pStyle w:val="Normlnweb"/>
        <w:numPr>
          <w:ilvl w:val="0"/>
          <w:numId w:val="28"/>
        </w:numPr>
        <w:jc w:val="both"/>
      </w:pPr>
      <w:r w:rsidRPr="00D87090">
        <w:t xml:space="preserve">Pomáhá </w:t>
      </w:r>
      <w:r w:rsidRPr="00D87090">
        <w:rPr>
          <w:rStyle w:val="Siln"/>
        </w:rPr>
        <w:t>plnit princip minimalizace</w:t>
      </w:r>
      <w:r w:rsidRPr="00D87090">
        <w:t xml:space="preserve"> a zabezpečení údajů.</w:t>
      </w:r>
    </w:p>
    <w:p w14:paraId="0E40CD30" w14:textId="77777777" w:rsidR="00D87090" w:rsidRPr="00D87090" w:rsidRDefault="00D87090" w:rsidP="00D87090">
      <w:pPr>
        <w:pStyle w:val="Normlnweb"/>
        <w:numPr>
          <w:ilvl w:val="0"/>
          <w:numId w:val="28"/>
        </w:numPr>
        <w:jc w:val="both"/>
      </w:pPr>
      <w:r w:rsidRPr="00D87090">
        <w:t>Umožňuje bezpečně sdílet data např. s výzkumnými organizacemi či zpracovateli.</w:t>
      </w:r>
    </w:p>
    <w:p w14:paraId="670C68ED" w14:textId="77777777" w:rsidR="00D87090" w:rsidRPr="00D87090" w:rsidRDefault="00D87090" w:rsidP="00D87090">
      <w:pPr>
        <w:pStyle w:val="Normlnweb"/>
        <w:jc w:val="both"/>
      </w:pPr>
      <w:r w:rsidRPr="00D87090">
        <w:t>Například škola, která chce externímu subjektu poskytnout informace o úspěšnosti žáků, může místo jmen použít interní kódy, přičemž seznam kódů a jmen si ponechá výhradně pro sebe. Tento přístup může být legitimní, pokud zároveň splní další povinnosti (např. informování, účel zpracování, právní základ).</w:t>
      </w:r>
    </w:p>
    <w:p w14:paraId="622238AB" w14:textId="5AD2E538" w:rsidR="00D87090" w:rsidRPr="00D87090" w:rsidRDefault="00D87090" w:rsidP="00D87090">
      <w:pPr>
        <w:pStyle w:val="Nadpis3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D8709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NEJČASTĚJŠÍ MÝTY A OMYLY</w:t>
      </w:r>
    </w:p>
    <w:p w14:paraId="55E4D987" w14:textId="77777777" w:rsidR="00D87090" w:rsidRPr="00D87090" w:rsidRDefault="00D87090" w:rsidP="00D87090">
      <w:pPr>
        <w:pStyle w:val="Normlnweb"/>
        <w:numPr>
          <w:ilvl w:val="0"/>
          <w:numId w:val="29"/>
        </w:numPr>
        <w:jc w:val="both"/>
      </w:pPr>
      <w:r w:rsidRPr="00D87090">
        <w:rPr>
          <w:rStyle w:val="Siln"/>
        </w:rPr>
        <w:t>„Pseudonymizace znamená anonymizaci.“</w:t>
      </w:r>
      <w:r w:rsidRPr="00D87090">
        <w:t xml:space="preserve"> Ne – pokud někdo má klíč (nebo ho může získat), data nejsou anonymní.</w:t>
      </w:r>
    </w:p>
    <w:p w14:paraId="4779EEFA" w14:textId="77777777" w:rsidR="00D87090" w:rsidRPr="00D87090" w:rsidRDefault="00D87090" w:rsidP="00D87090">
      <w:pPr>
        <w:pStyle w:val="Normlnweb"/>
        <w:numPr>
          <w:ilvl w:val="0"/>
          <w:numId w:val="29"/>
        </w:numPr>
        <w:jc w:val="both"/>
      </w:pPr>
      <w:r w:rsidRPr="00D87090">
        <w:rPr>
          <w:rStyle w:val="Siln"/>
        </w:rPr>
        <w:t>„Když data pseudonymizuji, GDPR se mě netýká.“</w:t>
      </w:r>
      <w:r w:rsidRPr="00D87090">
        <w:t xml:space="preserve"> Chyba – i pseudonymizovaná data jsou osobní údaje.</w:t>
      </w:r>
    </w:p>
    <w:p w14:paraId="2BD1CBFB" w14:textId="77777777" w:rsidR="00D87090" w:rsidRPr="00D87090" w:rsidRDefault="00D87090" w:rsidP="00D87090">
      <w:pPr>
        <w:pStyle w:val="Normlnweb"/>
        <w:numPr>
          <w:ilvl w:val="0"/>
          <w:numId w:val="29"/>
        </w:numPr>
        <w:jc w:val="both"/>
      </w:pPr>
      <w:r w:rsidRPr="00D87090">
        <w:rPr>
          <w:rStyle w:val="Siln"/>
        </w:rPr>
        <w:t>„Příjemce údajů nemá přístup ke klíči, takže nemusím informovat.“</w:t>
      </w:r>
      <w:r w:rsidRPr="00D87090">
        <w:t xml:space="preserve"> Omyl – je nutné vždy posoudit, </w:t>
      </w:r>
      <w:r w:rsidRPr="00D87090">
        <w:rPr>
          <w:rStyle w:val="Siln"/>
        </w:rPr>
        <w:t>zda příjemce může subjekt údajů identifikovat</w:t>
      </w:r>
      <w:r w:rsidRPr="00D87090">
        <w:t xml:space="preserve"> alespoň teoreticky a informaci o předání je třeba vždy zvážit.</w:t>
      </w:r>
    </w:p>
    <w:p w14:paraId="2A8B29E3" w14:textId="00F86847" w:rsidR="00D87090" w:rsidRPr="00D87090" w:rsidRDefault="00D87090" w:rsidP="00D87090">
      <w:pPr>
        <w:pStyle w:val="Nadpis3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D8709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PRÁVNÍ DŮRAZ: KAUZA SRB VS. EDPS</w:t>
      </w:r>
    </w:p>
    <w:p w14:paraId="37D2AACE" w14:textId="77777777" w:rsidR="00D87090" w:rsidRPr="00D87090" w:rsidRDefault="00D87090" w:rsidP="00D87090">
      <w:pPr>
        <w:pStyle w:val="Normlnweb"/>
        <w:jc w:val="both"/>
      </w:pPr>
      <w:r w:rsidRPr="00D87090">
        <w:t xml:space="preserve">Evropský soud nedávno řešil případ, kdy orgán EU poskytl pseudonymizovaná data společnosti Deloitte. Ač SRB tvrdil, že Deloitte nemohl osoby identifikovat, EDPS shledal pochybení v nedostatečném informování subjektů údajů. Rozsudek připomněl, že </w:t>
      </w:r>
      <w:r w:rsidRPr="00D87090">
        <w:rPr>
          <w:rStyle w:val="Siln"/>
        </w:rPr>
        <w:t>při posuzování, zda jsou data osobní, je třeba zohlednit schopnosti konkrétního příjemce – nejen správce.</w:t>
      </w:r>
    </w:p>
    <w:p w14:paraId="27EF634D" w14:textId="6C2A390B" w:rsidR="00D87090" w:rsidRPr="00D87090" w:rsidRDefault="00D87090" w:rsidP="00D87090">
      <w:pPr>
        <w:pStyle w:val="Nadpis3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D8709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lastRenderedPageBreak/>
        <w:t xml:space="preserve"> DOPORUČENÍ PRO ŠKOLSKÁ ZAŘÍZENÍ A VEŘEJNÉ INSTITUCE</w:t>
      </w:r>
    </w:p>
    <w:p w14:paraId="25C138DF" w14:textId="77777777" w:rsidR="00D87090" w:rsidRPr="00D87090" w:rsidRDefault="00D87090" w:rsidP="00D87090">
      <w:pPr>
        <w:pStyle w:val="Normlnweb"/>
        <w:numPr>
          <w:ilvl w:val="0"/>
          <w:numId w:val="30"/>
        </w:numPr>
        <w:jc w:val="both"/>
      </w:pPr>
      <w:r w:rsidRPr="00D87090">
        <w:rPr>
          <w:rStyle w:val="Siln"/>
        </w:rPr>
        <w:t>Pseudonymizaci využívejte uvážlivě a systematicky</w:t>
      </w:r>
      <w:r w:rsidRPr="00D87090">
        <w:t xml:space="preserve"> – např. při předávání dat třetím osobám nebo při interních statistikách.</w:t>
      </w:r>
    </w:p>
    <w:p w14:paraId="00AF89D3" w14:textId="77777777" w:rsidR="00D87090" w:rsidRPr="00D87090" w:rsidRDefault="00D87090" w:rsidP="00D87090">
      <w:pPr>
        <w:pStyle w:val="Normlnweb"/>
        <w:numPr>
          <w:ilvl w:val="0"/>
          <w:numId w:val="30"/>
        </w:numPr>
        <w:jc w:val="both"/>
      </w:pPr>
      <w:r w:rsidRPr="00D87090">
        <w:rPr>
          <w:rStyle w:val="Siln"/>
        </w:rPr>
        <w:t>Uchovávejte klíče odděleně, přístup k nim omezte a evidujte.</w:t>
      </w:r>
    </w:p>
    <w:p w14:paraId="694709B7" w14:textId="77777777" w:rsidR="00D87090" w:rsidRPr="00D87090" w:rsidRDefault="00D87090" w:rsidP="00D87090">
      <w:pPr>
        <w:pStyle w:val="Normlnweb"/>
        <w:numPr>
          <w:ilvl w:val="0"/>
          <w:numId w:val="30"/>
        </w:numPr>
        <w:jc w:val="both"/>
      </w:pPr>
      <w:r w:rsidRPr="00D87090">
        <w:rPr>
          <w:rStyle w:val="Siln"/>
        </w:rPr>
        <w:t>Posuzujte rizika a možnosti zpětné identifikace nejen u sebe, ale i u příjemců dat.</w:t>
      </w:r>
    </w:p>
    <w:p w14:paraId="654C95CF" w14:textId="77777777" w:rsidR="00D87090" w:rsidRPr="00D87090" w:rsidRDefault="00D87090" w:rsidP="00D87090">
      <w:pPr>
        <w:pStyle w:val="Normlnweb"/>
        <w:numPr>
          <w:ilvl w:val="0"/>
          <w:numId w:val="30"/>
        </w:numPr>
        <w:jc w:val="both"/>
      </w:pPr>
      <w:r w:rsidRPr="00D87090">
        <w:rPr>
          <w:rStyle w:val="Siln"/>
        </w:rPr>
        <w:t>Nezapomínejte na informační povinnost vůči subjektům údajů.</w:t>
      </w:r>
    </w:p>
    <w:p w14:paraId="461C13D2" w14:textId="77777777" w:rsidR="00D87090" w:rsidRPr="00D87090" w:rsidRDefault="00D87090" w:rsidP="00D87090">
      <w:pPr>
        <w:pStyle w:val="Normlnweb"/>
        <w:numPr>
          <w:ilvl w:val="0"/>
          <w:numId w:val="30"/>
        </w:numPr>
        <w:jc w:val="both"/>
      </w:pPr>
      <w:r w:rsidRPr="00D87090">
        <w:rPr>
          <w:rStyle w:val="Siln"/>
        </w:rPr>
        <w:t>Konzultujte použití pseudonymizace s pověřencem</w:t>
      </w:r>
      <w:r w:rsidRPr="00D87090">
        <w:t xml:space="preserve"> – zejména u složitějších zpracování nebo při spolupráci s externími subjekty.</w:t>
      </w:r>
    </w:p>
    <w:p w14:paraId="3E312F2A" w14:textId="77777777" w:rsidR="00D87090" w:rsidRPr="00D87090" w:rsidRDefault="00D87090" w:rsidP="00D87090">
      <w:pPr>
        <w:jc w:val="both"/>
        <w:rPr>
          <w:rFonts w:ascii="Times New Roman" w:hAnsi="Times New Roman" w:cs="Times New Roman"/>
          <w:sz w:val="24"/>
          <w:szCs w:val="24"/>
        </w:rPr>
      </w:pPr>
      <w:r w:rsidRPr="00D87090">
        <w:rPr>
          <w:rFonts w:ascii="Times New Roman" w:hAnsi="Times New Roman" w:cs="Times New Roman"/>
          <w:sz w:val="24"/>
          <w:szCs w:val="24"/>
        </w:rPr>
        <w:pict w14:anchorId="3F983727">
          <v:rect id="_x0000_i1025" style="width:0;height:1.5pt" o:hralign="center" o:hrstd="t" o:hr="t" fillcolor="#a0a0a0" stroked="f"/>
        </w:pict>
      </w:r>
    </w:p>
    <w:p w14:paraId="7FEB29DB" w14:textId="6B2949E3" w:rsidR="00D87090" w:rsidRPr="00D87090" w:rsidRDefault="00D87090" w:rsidP="00D87090">
      <w:pPr>
        <w:pStyle w:val="Normlnweb"/>
        <w:jc w:val="both"/>
      </w:pPr>
      <w:bookmarkStart w:id="0" w:name="_GoBack"/>
      <w:r w:rsidRPr="00D87090">
        <w:rPr>
          <w:rStyle w:val="Siln"/>
          <w:color w:val="984806" w:themeColor="accent6" w:themeShade="80"/>
        </w:rPr>
        <w:t>ZÁVĚR</w:t>
      </w:r>
      <w:bookmarkEnd w:id="0"/>
      <w:r w:rsidRPr="00D87090">
        <w:rPr>
          <w:rStyle w:val="Siln"/>
        </w:rPr>
        <w:t>:</w:t>
      </w:r>
      <w:r w:rsidRPr="00D87090">
        <w:br/>
        <w:t>Pseudonymizace je užitečný nástroj pro zvýšení bezpečnosti osobních údajů – pokud je správně navržena, řízena a zdokumentována. Nepředstavuje však „výjimku z GDPR“, ale jeho součást. Proto doporučuji všem školám a úřadům přistupovat k ní jako k promyšlenému technickému i právnímu opatření.</w:t>
      </w:r>
    </w:p>
    <w:p w14:paraId="4F353BE4" w14:textId="77777777" w:rsidR="00D23F6E" w:rsidRPr="00D87090" w:rsidRDefault="00D23F6E" w:rsidP="00D870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3F6E" w:rsidRPr="00D87090" w:rsidSect="00306858">
      <w:headerReference w:type="default" r:id="rId9"/>
      <w:foot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3DB07" w14:textId="77777777" w:rsidR="00561045" w:rsidRDefault="00561045" w:rsidP="000657C9">
      <w:pPr>
        <w:spacing w:after="0" w:line="240" w:lineRule="auto"/>
      </w:pPr>
      <w:r>
        <w:separator/>
      </w:r>
    </w:p>
  </w:endnote>
  <w:endnote w:type="continuationSeparator" w:id="0">
    <w:p w14:paraId="2A5A064D" w14:textId="77777777" w:rsidR="00561045" w:rsidRDefault="00561045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EndPr/>
    <w:sdtContent>
      <w:p w14:paraId="45F00048" w14:textId="77777777" w:rsidR="00306858" w:rsidRPr="00306858" w:rsidRDefault="00306858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Spálence 715/3, Ústí nad Labem| </w:t>
        </w:r>
        <w:r w:rsidRPr="00306858">
          <w:rPr>
            <w:b/>
          </w:rPr>
          <w:t>gdpr.pavlovic.cz</w:t>
        </w:r>
      </w:p>
      <w:p w14:paraId="23479829" w14:textId="77777777" w:rsidR="00B37EE9" w:rsidRDefault="00306858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619C1307" w:rsidR="00306858" w:rsidRDefault="0030685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24E67" w:rsidRPr="00724E67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619C1307" w:rsidR="00306858" w:rsidRDefault="0030685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24E67" w:rsidRPr="00724E67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F38D8" w14:textId="77777777" w:rsidR="00561045" w:rsidRDefault="00561045" w:rsidP="000657C9">
      <w:pPr>
        <w:spacing w:after="0" w:line="240" w:lineRule="auto"/>
      </w:pPr>
      <w:r>
        <w:separator/>
      </w:r>
    </w:p>
  </w:footnote>
  <w:footnote w:type="continuationSeparator" w:id="0">
    <w:p w14:paraId="18F454A0" w14:textId="77777777" w:rsidR="00561045" w:rsidRDefault="00561045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0657C9" w:rsidRDefault="004B1E10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7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0577A"/>
    <w:multiLevelType w:val="hybridMultilevel"/>
    <w:tmpl w:val="7D92D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61CF8"/>
    <w:multiLevelType w:val="hybridMultilevel"/>
    <w:tmpl w:val="86B2BD54"/>
    <w:lvl w:ilvl="0" w:tplc="A914DB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C5151"/>
    <w:multiLevelType w:val="multilevel"/>
    <w:tmpl w:val="93E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2122F"/>
    <w:multiLevelType w:val="multilevel"/>
    <w:tmpl w:val="AB7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21D3F"/>
    <w:multiLevelType w:val="hybridMultilevel"/>
    <w:tmpl w:val="73D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77456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2E72"/>
    <w:multiLevelType w:val="hybridMultilevel"/>
    <w:tmpl w:val="4F40A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A24A92"/>
    <w:multiLevelType w:val="hybridMultilevel"/>
    <w:tmpl w:val="22206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B2D91"/>
    <w:multiLevelType w:val="multilevel"/>
    <w:tmpl w:val="B02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623E8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601"/>
    <w:multiLevelType w:val="multilevel"/>
    <w:tmpl w:val="1C44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89308E"/>
    <w:multiLevelType w:val="hybridMultilevel"/>
    <w:tmpl w:val="7A601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47718"/>
    <w:multiLevelType w:val="multilevel"/>
    <w:tmpl w:val="632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E6333"/>
    <w:multiLevelType w:val="multilevel"/>
    <w:tmpl w:val="E1F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03E8C"/>
    <w:multiLevelType w:val="multilevel"/>
    <w:tmpl w:val="8D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A6650"/>
    <w:multiLevelType w:val="hybridMultilevel"/>
    <w:tmpl w:val="9352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978BD"/>
    <w:multiLevelType w:val="hybridMultilevel"/>
    <w:tmpl w:val="95AE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34EB"/>
    <w:multiLevelType w:val="multilevel"/>
    <w:tmpl w:val="C1C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D475B5"/>
    <w:multiLevelType w:val="multilevel"/>
    <w:tmpl w:val="E8D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46609"/>
    <w:multiLevelType w:val="hybridMultilevel"/>
    <w:tmpl w:val="539E6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30186"/>
    <w:multiLevelType w:val="hybridMultilevel"/>
    <w:tmpl w:val="02BEA68C"/>
    <w:lvl w:ilvl="0" w:tplc="E9D08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28"/>
  </w:num>
  <w:num w:numId="12">
    <w:abstractNumId w:val="14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25"/>
  </w:num>
  <w:num w:numId="18">
    <w:abstractNumId w:val="10"/>
  </w:num>
  <w:num w:numId="19">
    <w:abstractNumId w:val="29"/>
  </w:num>
  <w:num w:numId="20">
    <w:abstractNumId w:val="15"/>
  </w:num>
  <w:num w:numId="21">
    <w:abstractNumId w:val="20"/>
  </w:num>
  <w:num w:numId="22">
    <w:abstractNumId w:val="26"/>
  </w:num>
  <w:num w:numId="23">
    <w:abstractNumId w:val="11"/>
  </w:num>
  <w:num w:numId="24">
    <w:abstractNumId w:val="17"/>
  </w:num>
  <w:num w:numId="25">
    <w:abstractNumId w:val="22"/>
  </w:num>
  <w:num w:numId="26">
    <w:abstractNumId w:val="23"/>
  </w:num>
  <w:num w:numId="27">
    <w:abstractNumId w:val="27"/>
  </w:num>
  <w:num w:numId="28">
    <w:abstractNumId w:val="12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561045"/>
    <w:rsid w:val="006A3467"/>
    <w:rsid w:val="00724E67"/>
    <w:rsid w:val="00734924"/>
    <w:rsid w:val="007543CF"/>
    <w:rsid w:val="00791535"/>
    <w:rsid w:val="007A630F"/>
    <w:rsid w:val="00966CB9"/>
    <w:rsid w:val="00AA1D8D"/>
    <w:rsid w:val="00B37EE9"/>
    <w:rsid w:val="00B47730"/>
    <w:rsid w:val="00BB361D"/>
    <w:rsid w:val="00CB0664"/>
    <w:rsid w:val="00D23F6E"/>
    <w:rsid w:val="00D86187"/>
    <w:rsid w:val="00D87090"/>
    <w:rsid w:val="00DE2F69"/>
    <w:rsid w:val="00E62854"/>
    <w:rsid w:val="00EC7E95"/>
    <w:rsid w:val="00EF073C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65A128-7334-4A70-A029-CA0B7767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2025-06-02T14:16:00Z</dcterms:created>
  <dcterms:modified xsi:type="dcterms:W3CDTF">2025-06-02T14:16:00Z</dcterms:modified>
  <cp:category/>
</cp:coreProperties>
</file>